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84D" w:rsidRDefault="00B6309E">
      <w:r>
        <w:t xml:space="preserve">                                        </w:t>
      </w:r>
      <w:bookmarkStart w:id="0" w:name="_GoBack"/>
      <w:bookmarkEnd w:id="0"/>
      <w:r>
        <w:t xml:space="preserve">                     </w:t>
      </w:r>
      <w:r w:rsidR="006177F1">
        <w:rPr>
          <w:rFonts w:ascii="Castellar" w:hAnsi="Castellar"/>
          <w:b/>
          <w:noProof/>
          <w:sz w:val="24"/>
          <w:szCs w:val="24"/>
          <w:lang w:val="en-GB" w:eastAsia="en-GB"/>
        </w:rPr>
        <w:drawing>
          <wp:inline distT="0" distB="0" distL="0" distR="0" wp14:anchorId="305FCA05" wp14:editId="65D601B9">
            <wp:extent cx="891540" cy="525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With Abbrev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525780"/>
                    </a:xfrm>
                    <a:prstGeom prst="rect">
                      <a:avLst/>
                    </a:prstGeom>
                  </pic:spPr>
                </pic:pic>
              </a:graphicData>
            </a:graphic>
          </wp:inline>
        </w:drawing>
      </w:r>
    </w:p>
    <w:p w:rsidR="00E64AB6" w:rsidRPr="00C61BF6" w:rsidRDefault="00FB4790">
      <w:pPr>
        <w:rPr>
          <w:b/>
          <w:sz w:val="28"/>
          <w:szCs w:val="28"/>
          <w:u w:val="single"/>
        </w:rPr>
      </w:pPr>
      <w:r>
        <w:rPr>
          <w:b/>
          <w:sz w:val="28"/>
          <w:szCs w:val="28"/>
        </w:rPr>
        <w:t xml:space="preserve">          </w:t>
      </w:r>
      <w:r w:rsidR="00B6309E">
        <w:rPr>
          <w:b/>
          <w:sz w:val="28"/>
          <w:szCs w:val="28"/>
        </w:rPr>
        <w:t xml:space="preserve">   </w:t>
      </w:r>
      <w:r>
        <w:rPr>
          <w:b/>
          <w:sz w:val="28"/>
          <w:szCs w:val="28"/>
        </w:rPr>
        <w:t xml:space="preserve"> </w:t>
      </w:r>
      <w:r w:rsidR="00E64AB6" w:rsidRPr="00C61BF6">
        <w:rPr>
          <w:b/>
          <w:sz w:val="28"/>
          <w:szCs w:val="28"/>
          <w:u w:val="single"/>
        </w:rPr>
        <w:t>THE KARAKURAM CO</w:t>
      </w:r>
      <w:r w:rsidRPr="00C61BF6">
        <w:rPr>
          <w:b/>
          <w:sz w:val="28"/>
          <w:szCs w:val="28"/>
          <w:u w:val="single"/>
        </w:rPr>
        <w:t>-</w:t>
      </w:r>
      <w:r w:rsidR="00E64AB6" w:rsidRPr="00C61BF6">
        <w:rPr>
          <w:b/>
          <w:sz w:val="28"/>
          <w:szCs w:val="28"/>
          <w:u w:val="single"/>
        </w:rPr>
        <w:t>OPERATIVE BANK</w:t>
      </w:r>
      <w:r w:rsidR="00213021" w:rsidRPr="00C61BF6">
        <w:rPr>
          <w:b/>
          <w:sz w:val="28"/>
          <w:szCs w:val="28"/>
          <w:u w:val="single"/>
        </w:rPr>
        <w:t xml:space="preserve"> LTD</w:t>
      </w:r>
      <w:r w:rsidR="00E64AB6" w:rsidRPr="00C61BF6">
        <w:rPr>
          <w:b/>
          <w:sz w:val="28"/>
          <w:szCs w:val="28"/>
          <w:u w:val="single"/>
        </w:rPr>
        <w:t xml:space="preserve"> (KCBL)</w:t>
      </w:r>
    </w:p>
    <w:p w:rsidR="00E64AB6" w:rsidRDefault="00B6309E">
      <w:pPr>
        <w:rPr>
          <w:b/>
          <w:sz w:val="28"/>
          <w:szCs w:val="28"/>
        </w:rPr>
      </w:pPr>
      <w:r>
        <w:rPr>
          <w:b/>
          <w:sz w:val="28"/>
          <w:szCs w:val="28"/>
        </w:rPr>
        <w:t xml:space="preserve">                                           </w:t>
      </w:r>
    </w:p>
    <w:p w:rsidR="00E64AB6" w:rsidRDefault="00E64AB6">
      <w:pPr>
        <w:rPr>
          <w:b/>
          <w:sz w:val="28"/>
          <w:szCs w:val="28"/>
        </w:rPr>
      </w:pPr>
    </w:p>
    <w:p w:rsidR="00E64AB6" w:rsidRDefault="00B6309E">
      <w:pPr>
        <w:rPr>
          <w:b/>
          <w:sz w:val="28"/>
          <w:szCs w:val="28"/>
        </w:rPr>
      </w:pPr>
      <w:r>
        <w:rPr>
          <w:noProof/>
          <w:lang w:val="en-GB" w:eastAsia="en-GB"/>
        </w:rPr>
        <w:drawing>
          <wp:inline distT="0" distB="0" distL="0" distR="0" wp14:anchorId="28005C7F" wp14:editId="30E92DAF">
            <wp:extent cx="5905500" cy="4194175"/>
            <wp:effectExtent l="0" t="0" r="0" b="0"/>
            <wp:docPr id="1" name="Picture 1" descr="http://kcb.com.pk/wp-content/uploads/2011/11/KC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cb.com.pk/wp-content/uploads/2011/11/KCBL.jpg"/>
                    <pic:cNvPicPr>
                      <a:picLocks noChangeAspect="1" noChangeArrowheads="1"/>
                    </pic:cNvPicPr>
                  </pic:nvPicPr>
                  <pic:blipFill>
                    <a:blip r:embed="rId9"/>
                    <a:srcRect/>
                    <a:stretch>
                      <a:fillRect/>
                    </a:stretch>
                  </pic:blipFill>
                  <pic:spPr bwMode="auto">
                    <a:xfrm>
                      <a:off x="0" y="0"/>
                      <a:ext cx="5906243" cy="4194703"/>
                    </a:xfrm>
                    <a:prstGeom prst="rect">
                      <a:avLst/>
                    </a:prstGeom>
                    <a:noFill/>
                    <a:ln w="9525">
                      <a:noFill/>
                      <a:miter lim="800000"/>
                      <a:headEnd/>
                      <a:tailEnd/>
                    </a:ln>
                  </pic:spPr>
                </pic:pic>
              </a:graphicData>
            </a:graphic>
          </wp:inline>
        </w:drawing>
      </w:r>
    </w:p>
    <w:p w:rsidR="00E64AB6" w:rsidRDefault="00E64AB6">
      <w:pPr>
        <w:rPr>
          <w:b/>
          <w:sz w:val="28"/>
          <w:szCs w:val="28"/>
        </w:rPr>
      </w:pPr>
    </w:p>
    <w:p w:rsidR="00E64AB6" w:rsidRDefault="00E64AB6" w:rsidP="00C61BF6">
      <w:pPr>
        <w:spacing w:line="240" w:lineRule="auto"/>
        <w:contextualSpacing/>
        <w:jc w:val="center"/>
        <w:rPr>
          <w:b/>
          <w:sz w:val="28"/>
          <w:szCs w:val="28"/>
        </w:rPr>
      </w:pPr>
      <w:r>
        <w:rPr>
          <w:b/>
          <w:sz w:val="28"/>
          <w:szCs w:val="28"/>
        </w:rPr>
        <w:t>RFP DOCUMENT</w:t>
      </w:r>
    </w:p>
    <w:p w:rsidR="007F5F18" w:rsidRDefault="00E64AB6" w:rsidP="00C61BF6">
      <w:pPr>
        <w:spacing w:line="240" w:lineRule="auto"/>
        <w:contextualSpacing/>
        <w:jc w:val="center"/>
        <w:rPr>
          <w:b/>
          <w:sz w:val="28"/>
          <w:szCs w:val="28"/>
        </w:rPr>
      </w:pPr>
      <w:r>
        <w:rPr>
          <w:b/>
          <w:sz w:val="28"/>
          <w:szCs w:val="28"/>
        </w:rPr>
        <w:t>For Hiring of External Auditors.</w:t>
      </w:r>
    </w:p>
    <w:p w:rsidR="007A18C2" w:rsidRDefault="007A18C2" w:rsidP="007A18C2">
      <w:pPr>
        <w:spacing w:line="240" w:lineRule="auto"/>
        <w:contextualSpacing/>
        <w:rPr>
          <w:b/>
          <w:sz w:val="28"/>
          <w:szCs w:val="28"/>
        </w:rPr>
      </w:pPr>
    </w:p>
    <w:p w:rsidR="00C61BF6" w:rsidRDefault="00C61BF6">
      <w:pPr>
        <w:rPr>
          <w:b/>
          <w:sz w:val="28"/>
          <w:szCs w:val="28"/>
        </w:rPr>
      </w:pPr>
    </w:p>
    <w:p w:rsidR="00C61BF6" w:rsidRDefault="00C61BF6" w:rsidP="005277D0">
      <w:pPr>
        <w:pStyle w:val="Heading3"/>
      </w:pPr>
    </w:p>
    <w:p w:rsidR="005277D0" w:rsidRDefault="005277D0" w:rsidP="005277D0">
      <w:pPr>
        <w:pStyle w:val="Heading3"/>
      </w:pPr>
      <w:r>
        <w:lastRenderedPageBreak/>
        <w:t>1. Introduction</w:t>
      </w:r>
    </w:p>
    <w:p w:rsidR="005277D0" w:rsidRDefault="005277D0" w:rsidP="005277D0">
      <w:pPr>
        <w:pStyle w:val="NormalWeb"/>
        <w:jc w:val="both"/>
      </w:pPr>
      <w:r>
        <w:t>Karakoram Cooperative Bank Limited (KCBL), established under the Cooperative Societies Act, 1925, invites proposals from eligible firms of Chartered Accountants for appointment as External Auditors of the Bank.</w:t>
      </w:r>
    </w:p>
    <w:p w:rsidR="005277D0" w:rsidRDefault="00C61BF6" w:rsidP="005277D0">
      <w:pPr>
        <w:pStyle w:val="NormalWeb"/>
        <w:jc w:val="both"/>
      </w:pPr>
      <w:r w:rsidRPr="00C61BF6">
        <w:t xml:space="preserve">The Bank operates through a network of 52 branches and 5 Area Offices across </w:t>
      </w:r>
      <w:proofErr w:type="spellStart"/>
      <w:r w:rsidRPr="00C61BF6">
        <w:t>Gilgit</w:t>
      </w:r>
      <w:proofErr w:type="spellEnd"/>
      <w:r w:rsidRPr="00C61BF6">
        <w:t xml:space="preserve">-Baltistan, with its Head Office located at KCBL Complex, </w:t>
      </w:r>
      <w:proofErr w:type="spellStart"/>
      <w:r w:rsidRPr="00C61BF6">
        <w:t>Shahrah</w:t>
      </w:r>
      <w:proofErr w:type="spellEnd"/>
      <w:r w:rsidRPr="00C61BF6">
        <w:t>-e-Quaid-e-</w:t>
      </w:r>
      <w:proofErr w:type="spellStart"/>
      <w:r w:rsidRPr="00C61BF6">
        <w:t>Azam</w:t>
      </w:r>
      <w:proofErr w:type="spellEnd"/>
      <w:r w:rsidRPr="00C61BF6">
        <w:t xml:space="preserve">, </w:t>
      </w:r>
      <w:proofErr w:type="spellStart"/>
      <w:r w:rsidRPr="00C61BF6">
        <w:t>Jutial</w:t>
      </w:r>
      <w:proofErr w:type="spellEnd"/>
      <w:r w:rsidRPr="00C61BF6">
        <w:t xml:space="preserve">, </w:t>
      </w:r>
      <w:proofErr w:type="spellStart"/>
      <w:r w:rsidRPr="00C61BF6">
        <w:t>Gilgit</w:t>
      </w:r>
      <w:proofErr w:type="spellEnd"/>
      <w:r w:rsidRPr="00C61BF6">
        <w:t>.</w:t>
      </w:r>
    </w:p>
    <w:p w:rsidR="005277D0" w:rsidRDefault="005277D0" w:rsidP="005277D0">
      <w:pPr>
        <w:pStyle w:val="Heading3"/>
      </w:pPr>
      <w:r>
        <w:t>2. Eligibility Criteria</w:t>
      </w:r>
    </w:p>
    <w:p w:rsidR="005277D0" w:rsidRDefault="005277D0" w:rsidP="005277D0">
      <w:pPr>
        <w:pStyle w:val="NormalWeb"/>
      </w:pPr>
      <w:r>
        <w:t>Interested firms must:</w:t>
      </w:r>
    </w:p>
    <w:p w:rsidR="005277D0" w:rsidRDefault="005277D0" w:rsidP="005277D0">
      <w:pPr>
        <w:numPr>
          <w:ilvl w:val="0"/>
          <w:numId w:val="21"/>
        </w:numPr>
        <w:spacing w:before="100" w:beforeAutospacing="1" w:after="100" w:afterAutospacing="1" w:line="240" w:lineRule="auto"/>
      </w:pPr>
      <w:r>
        <w:t xml:space="preserve">Be registered with ICAP. </w:t>
      </w:r>
    </w:p>
    <w:p w:rsidR="005277D0" w:rsidRDefault="005277D0" w:rsidP="005277D0">
      <w:pPr>
        <w:numPr>
          <w:ilvl w:val="0"/>
          <w:numId w:val="21"/>
        </w:numPr>
        <w:spacing w:before="100" w:beforeAutospacing="1" w:after="100" w:afterAutospacing="1" w:line="240" w:lineRule="auto"/>
      </w:pPr>
      <w:r>
        <w:t xml:space="preserve">Hold a satisfactory Quality Control Review (QCR) rating. </w:t>
      </w:r>
    </w:p>
    <w:p w:rsidR="005277D0" w:rsidRDefault="005277D0" w:rsidP="005277D0">
      <w:pPr>
        <w:numPr>
          <w:ilvl w:val="0"/>
          <w:numId w:val="21"/>
        </w:numPr>
        <w:spacing w:before="100" w:beforeAutospacing="1" w:after="100" w:afterAutospacing="1" w:line="240" w:lineRule="auto"/>
      </w:pPr>
      <w:r>
        <w:t xml:space="preserve">Be included in the State Bank of Pakistan's Panel of Auditors in Category "A". </w:t>
      </w:r>
    </w:p>
    <w:p w:rsidR="005277D0" w:rsidRDefault="005277D0" w:rsidP="005277D0">
      <w:pPr>
        <w:numPr>
          <w:ilvl w:val="0"/>
          <w:numId w:val="21"/>
        </w:numPr>
        <w:spacing w:before="100" w:beforeAutospacing="1" w:after="100" w:afterAutospacing="1" w:line="240" w:lineRule="auto"/>
      </w:pPr>
      <w:r>
        <w:t xml:space="preserve">Have experience of auditing banks, microfinance banks, DFIs, or financial institutions. </w:t>
      </w:r>
    </w:p>
    <w:p w:rsidR="005277D0" w:rsidRDefault="005277D0" w:rsidP="005277D0">
      <w:pPr>
        <w:numPr>
          <w:ilvl w:val="0"/>
          <w:numId w:val="21"/>
        </w:numPr>
        <w:spacing w:before="100" w:beforeAutospacing="1" w:after="100" w:afterAutospacing="1" w:line="240" w:lineRule="auto"/>
      </w:pPr>
      <w:r>
        <w:t xml:space="preserve">Not be blacklisted by any Government, Regulatory Authority, Financial Institution, or Public Sector Entity. </w:t>
      </w:r>
    </w:p>
    <w:p w:rsidR="008C6663" w:rsidRDefault="003147AA" w:rsidP="003147AA">
      <w:pPr>
        <w:numPr>
          <w:ilvl w:val="0"/>
          <w:numId w:val="21"/>
        </w:numPr>
        <w:spacing w:before="100" w:beforeAutospacing="1" w:after="100" w:afterAutospacing="1" w:line="240" w:lineRule="auto"/>
        <w:jc w:val="both"/>
      </w:pPr>
      <w:r>
        <w:t>The firm shall confirm that neither the firm nor its partners have any conflict of interest or business relationship that may impair independence with respect to KCBL.</w:t>
      </w:r>
    </w:p>
    <w:p w:rsidR="005277D0" w:rsidRDefault="005277D0" w:rsidP="005277D0">
      <w:pPr>
        <w:pStyle w:val="Heading3"/>
      </w:pPr>
      <w:r>
        <w:t>3. Assignment</w:t>
      </w:r>
    </w:p>
    <w:p w:rsidR="00C61BF6" w:rsidRDefault="00C61BF6" w:rsidP="00C61BF6">
      <w:pPr>
        <w:pStyle w:val="NormalWeb"/>
        <w:jc w:val="both"/>
      </w:pPr>
      <w:r w:rsidRPr="00C61BF6">
        <w:t>The selected firm shall conduct the statutory audits of KCBL for the financial years ended 30 June 2024, 30 June 2025, and 30 June 2026 under a single engagement and issue separate independent audit reports and management letters for each financial year.</w:t>
      </w:r>
    </w:p>
    <w:p w:rsidR="005277D0" w:rsidRDefault="005277D0" w:rsidP="005277D0">
      <w:pPr>
        <w:pStyle w:val="Heading3"/>
      </w:pPr>
      <w:r>
        <w:t>4. Scope of Work</w:t>
      </w:r>
    </w:p>
    <w:p w:rsidR="005277D0" w:rsidRDefault="005277D0" w:rsidP="005277D0">
      <w:pPr>
        <w:pStyle w:val="NormalWeb"/>
      </w:pPr>
      <w:r>
        <w:t>The audit shall include:</w:t>
      </w:r>
    </w:p>
    <w:p w:rsidR="005277D0" w:rsidRDefault="005277D0" w:rsidP="005277D0">
      <w:pPr>
        <w:numPr>
          <w:ilvl w:val="0"/>
          <w:numId w:val="23"/>
        </w:numPr>
        <w:spacing w:before="100" w:beforeAutospacing="1" w:after="100" w:afterAutospacing="1" w:line="240" w:lineRule="auto"/>
      </w:pPr>
      <w:r>
        <w:t xml:space="preserve">Audit of annual financial statements; </w:t>
      </w:r>
    </w:p>
    <w:p w:rsidR="005277D0" w:rsidRDefault="005277D0" w:rsidP="005277D0">
      <w:pPr>
        <w:numPr>
          <w:ilvl w:val="0"/>
          <w:numId w:val="23"/>
        </w:numPr>
        <w:spacing w:before="100" w:beforeAutospacing="1" w:after="100" w:afterAutospacing="1" w:line="240" w:lineRule="auto"/>
      </w:pPr>
      <w:r>
        <w:t xml:space="preserve">Review of accounting records and financial reporting; </w:t>
      </w:r>
    </w:p>
    <w:p w:rsidR="005277D0" w:rsidRDefault="005277D0" w:rsidP="005277D0">
      <w:pPr>
        <w:numPr>
          <w:ilvl w:val="0"/>
          <w:numId w:val="23"/>
        </w:numPr>
        <w:spacing w:before="100" w:beforeAutospacing="1" w:after="100" w:afterAutospacing="1" w:line="240" w:lineRule="auto"/>
      </w:pPr>
      <w:r>
        <w:t xml:space="preserve">Assessment of internal controls and risk management processes; </w:t>
      </w:r>
    </w:p>
    <w:p w:rsidR="005277D0" w:rsidRDefault="005277D0" w:rsidP="005277D0">
      <w:pPr>
        <w:numPr>
          <w:ilvl w:val="0"/>
          <w:numId w:val="23"/>
        </w:numPr>
        <w:spacing w:before="100" w:beforeAutospacing="1" w:after="100" w:afterAutospacing="1" w:line="240" w:lineRule="auto"/>
      </w:pPr>
      <w:r>
        <w:t xml:space="preserve">Review of compliance with applicable laws, regulations, and internal policies; </w:t>
      </w:r>
    </w:p>
    <w:p w:rsidR="005277D0" w:rsidRDefault="005277D0" w:rsidP="005277D0">
      <w:pPr>
        <w:numPr>
          <w:ilvl w:val="0"/>
          <w:numId w:val="23"/>
        </w:numPr>
        <w:spacing w:before="100" w:beforeAutospacing="1" w:after="100" w:afterAutospacing="1" w:line="240" w:lineRule="auto"/>
      </w:pPr>
      <w:r>
        <w:t xml:space="preserve">Identification of significant weaknesses and recommendations for improvement. </w:t>
      </w:r>
    </w:p>
    <w:p w:rsidR="005277D0" w:rsidRDefault="005277D0" w:rsidP="005277D0">
      <w:pPr>
        <w:pStyle w:val="Heading3"/>
      </w:pPr>
      <w:r>
        <w:t>5. Deliverables</w:t>
      </w:r>
    </w:p>
    <w:p w:rsidR="005277D0" w:rsidRDefault="005277D0" w:rsidP="005277D0">
      <w:pPr>
        <w:pStyle w:val="NormalWeb"/>
      </w:pPr>
      <w:r>
        <w:t>The selected firm shall provide:</w:t>
      </w:r>
    </w:p>
    <w:p w:rsidR="005277D0" w:rsidRDefault="005277D0" w:rsidP="005277D0">
      <w:pPr>
        <w:numPr>
          <w:ilvl w:val="0"/>
          <w:numId w:val="24"/>
        </w:numPr>
        <w:spacing w:before="100" w:beforeAutospacing="1" w:after="100" w:afterAutospacing="1" w:line="240" w:lineRule="auto"/>
      </w:pPr>
      <w:r>
        <w:t xml:space="preserve">Independent Auditor's Report. </w:t>
      </w:r>
    </w:p>
    <w:p w:rsidR="005277D0" w:rsidRDefault="005277D0" w:rsidP="005277D0">
      <w:pPr>
        <w:numPr>
          <w:ilvl w:val="0"/>
          <w:numId w:val="24"/>
        </w:numPr>
        <w:spacing w:before="100" w:beforeAutospacing="1" w:after="100" w:afterAutospacing="1" w:line="240" w:lineRule="auto"/>
      </w:pPr>
      <w:r>
        <w:t xml:space="preserve">Audited Financial Statements. </w:t>
      </w:r>
    </w:p>
    <w:p w:rsidR="005277D0" w:rsidRDefault="005277D0" w:rsidP="005277D0">
      <w:pPr>
        <w:numPr>
          <w:ilvl w:val="0"/>
          <w:numId w:val="24"/>
        </w:numPr>
        <w:spacing w:before="100" w:beforeAutospacing="1" w:after="100" w:afterAutospacing="1" w:line="240" w:lineRule="auto"/>
      </w:pPr>
      <w:r>
        <w:t xml:space="preserve">Management Letter highlighting significant observations, risks, internal control weaknesses, and recommendations. </w:t>
      </w:r>
    </w:p>
    <w:p w:rsidR="005277D0" w:rsidRDefault="005277D0" w:rsidP="005277D0">
      <w:pPr>
        <w:numPr>
          <w:ilvl w:val="0"/>
          <w:numId w:val="24"/>
        </w:numPr>
        <w:spacing w:before="100" w:beforeAutospacing="1" w:after="100" w:afterAutospacing="1" w:line="240" w:lineRule="auto"/>
      </w:pPr>
      <w:r>
        <w:t xml:space="preserve">Draft reports for management comments prior to issuance of final reports. </w:t>
      </w:r>
    </w:p>
    <w:p w:rsidR="005277D0" w:rsidRDefault="005277D0" w:rsidP="005277D0">
      <w:pPr>
        <w:pStyle w:val="Heading3"/>
      </w:pPr>
      <w:r>
        <w:t>6. Completion Period</w:t>
      </w:r>
    </w:p>
    <w:p w:rsidR="005277D0" w:rsidRDefault="008C6663" w:rsidP="005277D0">
      <w:pPr>
        <w:pStyle w:val="NormalWeb"/>
      </w:pPr>
      <w:r w:rsidRPr="008C6663">
        <w:t>The assignment shall be completed within 90 days from the commencement of audit fieldwork or within such timeline as may be agreed by KCBL.</w:t>
      </w:r>
    </w:p>
    <w:p w:rsidR="005277D0" w:rsidRDefault="005277D0" w:rsidP="005277D0">
      <w:pPr>
        <w:pStyle w:val="Heading3"/>
      </w:pPr>
      <w:r>
        <w:t>7. Payment Terms</w:t>
      </w:r>
    </w:p>
    <w:p w:rsidR="008C6663" w:rsidRDefault="005277D0" w:rsidP="005277D0">
      <w:pPr>
        <w:pStyle w:val="NormalWeb"/>
      </w:pPr>
      <w:r>
        <w:t>Payment shall be made upon submission and acceptance of final audit reports and management letter.</w:t>
      </w:r>
      <w:r w:rsidR="0056035E" w:rsidRPr="0056035E">
        <w:t xml:space="preserve"> </w:t>
      </w:r>
    </w:p>
    <w:p w:rsidR="008C6663" w:rsidRPr="008C6663" w:rsidRDefault="008C6663" w:rsidP="005277D0">
      <w:pPr>
        <w:pStyle w:val="NormalWeb"/>
        <w:rPr>
          <w:b/>
        </w:rPr>
      </w:pPr>
      <w:r w:rsidRPr="008C6663">
        <w:rPr>
          <w:b/>
        </w:rPr>
        <w:t>8. Boarding and Lodging</w:t>
      </w:r>
    </w:p>
    <w:p w:rsidR="005277D0" w:rsidRDefault="008C6663" w:rsidP="008C6663">
      <w:pPr>
        <w:pStyle w:val="NormalWeb"/>
        <w:jc w:val="both"/>
      </w:pPr>
      <w:r w:rsidRPr="008C6663">
        <w:t>KCBL shall provide boarding and lodging facilities for the field audit team during audit fieldwork.</w:t>
      </w:r>
    </w:p>
    <w:p w:rsidR="005277D0" w:rsidRPr="005277D0" w:rsidRDefault="008C6663" w:rsidP="005277D0">
      <w:pPr>
        <w:pStyle w:val="Heading1"/>
        <w:rPr>
          <w:sz w:val="27"/>
          <w:szCs w:val="27"/>
        </w:rPr>
      </w:pPr>
      <w:r>
        <w:rPr>
          <w:sz w:val="27"/>
          <w:szCs w:val="27"/>
        </w:rPr>
        <w:t>9</w:t>
      </w:r>
      <w:r w:rsidR="005277D0" w:rsidRPr="005277D0">
        <w:rPr>
          <w:sz w:val="27"/>
          <w:szCs w:val="27"/>
        </w:rPr>
        <w:t>. Evaluation Criteria</w:t>
      </w:r>
    </w:p>
    <w:p w:rsidR="005277D0" w:rsidRPr="005277D0" w:rsidRDefault="005277D0" w:rsidP="005277D0">
      <w:pPr>
        <w:pStyle w:val="Heading2"/>
        <w:rPr>
          <w:sz w:val="27"/>
          <w:szCs w:val="27"/>
        </w:rPr>
      </w:pPr>
      <w:r w:rsidRPr="005277D0">
        <w:rPr>
          <w:sz w:val="27"/>
          <w:szCs w:val="27"/>
        </w:rPr>
        <w:t>Technical Evaluation (70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59"/>
        <w:gridCol w:w="2410"/>
      </w:tblGrid>
      <w:tr w:rsidR="005277D0" w:rsidTr="005277D0">
        <w:trPr>
          <w:tblHeader/>
          <w:tblCellSpacing w:w="15" w:type="dxa"/>
        </w:trPr>
        <w:tc>
          <w:tcPr>
            <w:tcW w:w="6814" w:type="dxa"/>
            <w:vAlign w:val="center"/>
            <w:hideMark/>
          </w:tcPr>
          <w:p w:rsidR="005277D0" w:rsidRDefault="005277D0">
            <w:pPr>
              <w:jc w:val="center"/>
              <w:rPr>
                <w:b/>
                <w:bCs/>
              </w:rPr>
            </w:pPr>
            <w:r>
              <w:rPr>
                <w:b/>
                <w:bCs/>
              </w:rPr>
              <w:t>Criteria</w:t>
            </w:r>
          </w:p>
        </w:tc>
        <w:tc>
          <w:tcPr>
            <w:tcW w:w="2365" w:type="dxa"/>
            <w:vAlign w:val="center"/>
            <w:hideMark/>
          </w:tcPr>
          <w:p w:rsidR="005277D0" w:rsidRDefault="005277D0">
            <w:pPr>
              <w:jc w:val="center"/>
              <w:rPr>
                <w:b/>
                <w:bCs/>
              </w:rPr>
            </w:pPr>
            <w:r>
              <w:rPr>
                <w:b/>
                <w:bCs/>
              </w:rPr>
              <w:t>Maximum Marks</w:t>
            </w:r>
          </w:p>
        </w:tc>
      </w:tr>
      <w:tr w:rsidR="005277D0" w:rsidTr="005277D0">
        <w:trPr>
          <w:tblCellSpacing w:w="15" w:type="dxa"/>
        </w:trPr>
        <w:tc>
          <w:tcPr>
            <w:tcW w:w="6814" w:type="dxa"/>
            <w:vAlign w:val="center"/>
            <w:hideMark/>
          </w:tcPr>
          <w:p w:rsidR="005277D0" w:rsidRDefault="005277D0">
            <w:r>
              <w:t>Relevant Banking / Financial Sector Audit Experience</w:t>
            </w:r>
          </w:p>
        </w:tc>
        <w:tc>
          <w:tcPr>
            <w:tcW w:w="2365" w:type="dxa"/>
            <w:vAlign w:val="center"/>
            <w:hideMark/>
          </w:tcPr>
          <w:p w:rsidR="005277D0" w:rsidRDefault="005277D0" w:rsidP="005277D0">
            <w:pPr>
              <w:jc w:val="center"/>
            </w:pPr>
            <w:r>
              <w:t>25</w:t>
            </w:r>
          </w:p>
        </w:tc>
      </w:tr>
      <w:tr w:rsidR="005277D0" w:rsidTr="005277D0">
        <w:trPr>
          <w:tblCellSpacing w:w="15" w:type="dxa"/>
        </w:trPr>
        <w:tc>
          <w:tcPr>
            <w:tcW w:w="6814" w:type="dxa"/>
            <w:vAlign w:val="center"/>
            <w:hideMark/>
          </w:tcPr>
          <w:p w:rsidR="005277D0" w:rsidRDefault="005277D0">
            <w:r>
              <w:t>Audit Methodology and Understanding of Assignment</w:t>
            </w:r>
          </w:p>
        </w:tc>
        <w:tc>
          <w:tcPr>
            <w:tcW w:w="2365" w:type="dxa"/>
            <w:vAlign w:val="center"/>
            <w:hideMark/>
          </w:tcPr>
          <w:p w:rsidR="005277D0" w:rsidRDefault="005277D0" w:rsidP="005277D0">
            <w:pPr>
              <w:jc w:val="center"/>
            </w:pPr>
            <w:r>
              <w:t>15</w:t>
            </w:r>
          </w:p>
        </w:tc>
      </w:tr>
      <w:tr w:rsidR="005277D0" w:rsidTr="005277D0">
        <w:trPr>
          <w:tblCellSpacing w:w="15" w:type="dxa"/>
        </w:trPr>
        <w:tc>
          <w:tcPr>
            <w:tcW w:w="6814" w:type="dxa"/>
            <w:vAlign w:val="center"/>
            <w:hideMark/>
          </w:tcPr>
          <w:p w:rsidR="005277D0" w:rsidRDefault="005277D0">
            <w:r>
              <w:t>Proposed Engagement Partner and Audit Team</w:t>
            </w:r>
          </w:p>
        </w:tc>
        <w:tc>
          <w:tcPr>
            <w:tcW w:w="2365" w:type="dxa"/>
            <w:vAlign w:val="center"/>
            <w:hideMark/>
          </w:tcPr>
          <w:p w:rsidR="005277D0" w:rsidRDefault="008C6663" w:rsidP="005277D0">
            <w:pPr>
              <w:jc w:val="center"/>
            </w:pPr>
            <w:r>
              <w:t>20</w:t>
            </w:r>
          </w:p>
        </w:tc>
      </w:tr>
      <w:tr w:rsidR="005277D0" w:rsidTr="005277D0">
        <w:trPr>
          <w:tblCellSpacing w:w="15" w:type="dxa"/>
        </w:trPr>
        <w:tc>
          <w:tcPr>
            <w:tcW w:w="6814" w:type="dxa"/>
            <w:vAlign w:val="center"/>
            <w:hideMark/>
          </w:tcPr>
          <w:p w:rsidR="005277D0" w:rsidRDefault="005277D0">
            <w:r>
              <w:t>Firm Capacity and Resources</w:t>
            </w:r>
          </w:p>
        </w:tc>
        <w:tc>
          <w:tcPr>
            <w:tcW w:w="2365" w:type="dxa"/>
            <w:vAlign w:val="center"/>
            <w:hideMark/>
          </w:tcPr>
          <w:p w:rsidR="005277D0" w:rsidRDefault="008C6663" w:rsidP="005277D0">
            <w:pPr>
              <w:jc w:val="center"/>
            </w:pPr>
            <w:r>
              <w:t>5</w:t>
            </w:r>
          </w:p>
        </w:tc>
      </w:tr>
      <w:tr w:rsidR="005277D0" w:rsidTr="005277D0">
        <w:trPr>
          <w:tblCellSpacing w:w="15" w:type="dxa"/>
        </w:trPr>
        <w:tc>
          <w:tcPr>
            <w:tcW w:w="6814" w:type="dxa"/>
            <w:vAlign w:val="center"/>
            <w:hideMark/>
          </w:tcPr>
          <w:p w:rsidR="005277D0" w:rsidRDefault="005277D0">
            <w:r>
              <w:t>QCR Status, Professional Affiliations and Quality Assurance</w:t>
            </w:r>
          </w:p>
        </w:tc>
        <w:tc>
          <w:tcPr>
            <w:tcW w:w="2365" w:type="dxa"/>
            <w:vAlign w:val="center"/>
            <w:hideMark/>
          </w:tcPr>
          <w:p w:rsidR="005277D0" w:rsidRDefault="005277D0" w:rsidP="005277D0">
            <w:pPr>
              <w:jc w:val="center"/>
            </w:pPr>
            <w:r>
              <w:t>5</w:t>
            </w:r>
          </w:p>
        </w:tc>
      </w:tr>
      <w:tr w:rsidR="005277D0" w:rsidTr="005277D0">
        <w:trPr>
          <w:tblCellSpacing w:w="15" w:type="dxa"/>
        </w:trPr>
        <w:tc>
          <w:tcPr>
            <w:tcW w:w="6814" w:type="dxa"/>
            <w:vAlign w:val="center"/>
            <w:hideMark/>
          </w:tcPr>
          <w:p w:rsidR="005277D0" w:rsidRDefault="005277D0">
            <w:r>
              <w:rPr>
                <w:rStyle w:val="Strong"/>
              </w:rPr>
              <w:t>Total</w:t>
            </w:r>
          </w:p>
        </w:tc>
        <w:tc>
          <w:tcPr>
            <w:tcW w:w="2365" w:type="dxa"/>
            <w:vAlign w:val="center"/>
            <w:hideMark/>
          </w:tcPr>
          <w:p w:rsidR="005277D0" w:rsidRDefault="005277D0" w:rsidP="005277D0">
            <w:pPr>
              <w:jc w:val="center"/>
            </w:pPr>
            <w:r>
              <w:rPr>
                <w:rStyle w:val="Strong"/>
              </w:rPr>
              <w:t>70</w:t>
            </w:r>
          </w:p>
        </w:tc>
      </w:tr>
    </w:tbl>
    <w:p w:rsidR="003147AA" w:rsidRDefault="003147AA" w:rsidP="005277D0">
      <w:pPr>
        <w:pStyle w:val="Heading3"/>
      </w:pPr>
    </w:p>
    <w:p w:rsidR="003147AA" w:rsidRDefault="003147AA" w:rsidP="005277D0">
      <w:pPr>
        <w:pStyle w:val="Heading3"/>
      </w:pPr>
    </w:p>
    <w:p w:rsidR="003147AA" w:rsidRDefault="003147AA" w:rsidP="005277D0">
      <w:pPr>
        <w:pStyle w:val="Heading3"/>
      </w:pPr>
    </w:p>
    <w:p w:rsidR="005277D0" w:rsidRDefault="005277D0" w:rsidP="005277D0">
      <w:pPr>
        <w:pStyle w:val="Heading3"/>
      </w:pPr>
      <w:r>
        <w:t>Scoring Guidance</w:t>
      </w:r>
    </w:p>
    <w:p w:rsidR="005277D0" w:rsidRDefault="005277D0" w:rsidP="005277D0">
      <w:pPr>
        <w:pStyle w:val="Heading4"/>
      </w:pPr>
      <w:r>
        <w:t>A. Banking / Financial Sector Experience (25)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85"/>
        <w:gridCol w:w="1984"/>
      </w:tblGrid>
      <w:tr w:rsidR="005277D0" w:rsidTr="005277D0">
        <w:trPr>
          <w:tblHeader/>
          <w:tblCellSpacing w:w="15" w:type="dxa"/>
        </w:trPr>
        <w:tc>
          <w:tcPr>
            <w:tcW w:w="7240" w:type="dxa"/>
            <w:vAlign w:val="center"/>
            <w:hideMark/>
          </w:tcPr>
          <w:p w:rsidR="005277D0" w:rsidRDefault="005277D0">
            <w:pPr>
              <w:jc w:val="center"/>
              <w:rPr>
                <w:b/>
                <w:bCs/>
              </w:rPr>
            </w:pPr>
            <w:r>
              <w:rPr>
                <w:b/>
                <w:bCs/>
              </w:rPr>
              <w:t>Criteria</w:t>
            </w:r>
          </w:p>
        </w:tc>
        <w:tc>
          <w:tcPr>
            <w:tcW w:w="1939" w:type="dxa"/>
            <w:vAlign w:val="center"/>
            <w:hideMark/>
          </w:tcPr>
          <w:p w:rsidR="005277D0" w:rsidRDefault="005277D0">
            <w:pPr>
              <w:jc w:val="center"/>
              <w:rPr>
                <w:b/>
                <w:bCs/>
              </w:rPr>
            </w:pPr>
            <w:r>
              <w:rPr>
                <w:b/>
                <w:bCs/>
              </w:rPr>
              <w:t>Marks</w:t>
            </w:r>
          </w:p>
        </w:tc>
      </w:tr>
      <w:tr w:rsidR="005277D0" w:rsidTr="005277D0">
        <w:trPr>
          <w:tblCellSpacing w:w="15" w:type="dxa"/>
        </w:trPr>
        <w:tc>
          <w:tcPr>
            <w:tcW w:w="7240" w:type="dxa"/>
            <w:vAlign w:val="center"/>
            <w:hideMark/>
          </w:tcPr>
          <w:p w:rsidR="005277D0" w:rsidRDefault="005277D0">
            <w:r>
              <w:t>Audits of Banks, MFBs, DFIs and Financial Institutions</w:t>
            </w:r>
          </w:p>
        </w:tc>
        <w:tc>
          <w:tcPr>
            <w:tcW w:w="1939" w:type="dxa"/>
            <w:vAlign w:val="center"/>
            <w:hideMark/>
          </w:tcPr>
          <w:p w:rsidR="005277D0" w:rsidRDefault="005277D0" w:rsidP="005277D0">
            <w:pPr>
              <w:jc w:val="center"/>
            </w:pPr>
            <w:r>
              <w:t>15</w:t>
            </w:r>
          </w:p>
        </w:tc>
      </w:tr>
      <w:tr w:rsidR="005277D0" w:rsidTr="005277D0">
        <w:trPr>
          <w:tblCellSpacing w:w="15" w:type="dxa"/>
        </w:trPr>
        <w:tc>
          <w:tcPr>
            <w:tcW w:w="7240" w:type="dxa"/>
            <w:vAlign w:val="center"/>
            <w:hideMark/>
          </w:tcPr>
          <w:p w:rsidR="005277D0" w:rsidRDefault="005277D0">
            <w:r>
              <w:t>Public Sector / Government Entity Audits</w:t>
            </w:r>
          </w:p>
        </w:tc>
        <w:tc>
          <w:tcPr>
            <w:tcW w:w="1939" w:type="dxa"/>
            <w:vAlign w:val="center"/>
            <w:hideMark/>
          </w:tcPr>
          <w:p w:rsidR="005277D0" w:rsidRDefault="005277D0" w:rsidP="005277D0">
            <w:pPr>
              <w:jc w:val="center"/>
            </w:pPr>
            <w:r>
              <w:t>10</w:t>
            </w:r>
          </w:p>
        </w:tc>
      </w:tr>
    </w:tbl>
    <w:p w:rsidR="005277D0" w:rsidRDefault="005277D0" w:rsidP="005277D0">
      <w:pPr>
        <w:pStyle w:val="Heading4"/>
      </w:pPr>
      <w:r>
        <w:t>B. Audit Methodology (15)</w:t>
      </w:r>
    </w:p>
    <w:p w:rsidR="005277D0" w:rsidRDefault="005277D0" w:rsidP="005277D0">
      <w:pPr>
        <w:pStyle w:val="NormalWeb"/>
      </w:pPr>
      <w:r>
        <w:t>Evaluation of:</w:t>
      </w:r>
    </w:p>
    <w:p w:rsidR="005277D0" w:rsidRDefault="005277D0" w:rsidP="005277D0">
      <w:pPr>
        <w:numPr>
          <w:ilvl w:val="0"/>
          <w:numId w:val="25"/>
        </w:numPr>
        <w:spacing w:before="100" w:beforeAutospacing="1" w:after="100" w:afterAutospacing="1" w:line="240" w:lineRule="auto"/>
      </w:pPr>
      <w:r>
        <w:t xml:space="preserve">Audit approach </w:t>
      </w:r>
    </w:p>
    <w:p w:rsidR="005277D0" w:rsidRDefault="005277D0" w:rsidP="005277D0">
      <w:pPr>
        <w:numPr>
          <w:ilvl w:val="0"/>
          <w:numId w:val="25"/>
        </w:numPr>
        <w:spacing w:before="100" w:beforeAutospacing="1" w:after="100" w:afterAutospacing="1" w:line="240" w:lineRule="auto"/>
      </w:pPr>
      <w:r>
        <w:t xml:space="preserve">Risk assessment methodology </w:t>
      </w:r>
    </w:p>
    <w:p w:rsidR="005277D0" w:rsidRDefault="005277D0" w:rsidP="005277D0">
      <w:pPr>
        <w:numPr>
          <w:ilvl w:val="0"/>
          <w:numId w:val="25"/>
        </w:numPr>
        <w:spacing w:before="100" w:beforeAutospacing="1" w:after="100" w:afterAutospacing="1" w:line="240" w:lineRule="auto"/>
      </w:pPr>
      <w:r>
        <w:t xml:space="preserve">Branch coverage strategy </w:t>
      </w:r>
    </w:p>
    <w:p w:rsidR="005277D0" w:rsidRDefault="005277D0" w:rsidP="005277D0">
      <w:pPr>
        <w:numPr>
          <w:ilvl w:val="0"/>
          <w:numId w:val="25"/>
        </w:numPr>
        <w:spacing w:before="100" w:beforeAutospacing="1" w:after="100" w:afterAutospacing="1" w:line="240" w:lineRule="auto"/>
      </w:pPr>
      <w:r>
        <w:t xml:space="preserve">Quality control procedures </w:t>
      </w:r>
    </w:p>
    <w:p w:rsidR="005277D0" w:rsidRDefault="005277D0" w:rsidP="005277D0">
      <w:pPr>
        <w:numPr>
          <w:ilvl w:val="0"/>
          <w:numId w:val="25"/>
        </w:numPr>
        <w:spacing w:before="100" w:beforeAutospacing="1" w:after="100" w:afterAutospacing="1" w:line="240" w:lineRule="auto"/>
      </w:pPr>
      <w:r>
        <w:t xml:space="preserve">Reporting methodology </w:t>
      </w:r>
    </w:p>
    <w:p w:rsidR="005277D0" w:rsidRDefault="005277D0" w:rsidP="005277D0">
      <w:pPr>
        <w:pStyle w:val="Heading4"/>
      </w:pPr>
      <w:r>
        <w:t>C. Engagement Team (15)</w:t>
      </w:r>
    </w:p>
    <w:p w:rsidR="005277D0" w:rsidRDefault="005277D0" w:rsidP="005277D0">
      <w:pPr>
        <w:pStyle w:val="NormalWeb"/>
      </w:pPr>
      <w:r>
        <w:t>Evaluation based on:</w:t>
      </w:r>
    </w:p>
    <w:p w:rsidR="005277D0" w:rsidRDefault="005277D0" w:rsidP="005277D0">
      <w:pPr>
        <w:numPr>
          <w:ilvl w:val="0"/>
          <w:numId w:val="26"/>
        </w:numPr>
        <w:spacing w:before="100" w:beforeAutospacing="1" w:after="100" w:afterAutospacing="1" w:line="240" w:lineRule="auto"/>
      </w:pPr>
      <w:r>
        <w:t xml:space="preserve">Engagement Partner's experience </w:t>
      </w:r>
    </w:p>
    <w:p w:rsidR="005277D0" w:rsidRDefault="005277D0" w:rsidP="005277D0">
      <w:pPr>
        <w:numPr>
          <w:ilvl w:val="0"/>
          <w:numId w:val="26"/>
        </w:numPr>
        <w:spacing w:before="100" w:beforeAutospacing="1" w:after="100" w:afterAutospacing="1" w:line="240" w:lineRule="auto"/>
      </w:pPr>
      <w:r>
        <w:t xml:space="preserve">Banking audit experience of team </w:t>
      </w:r>
    </w:p>
    <w:p w:rsidR="005277D0" w:rsidRDefault="005277D0" w:rsidP="005277D0">
      <w:pPr>
        <w:numPr>
          <w:ilvl w:val="0"/>
          <w:numId w:val="26"/>
        </w:numPr>
        <w:spacing w:before="100" w:beforeAutospacing="1" w:after="100" w:afterAutospacing="1" w:line="240" w:lineRule="auto"/>
      </w:pPr>
      <w:r>
        <w:t xml:space="preserve">Number of qualified professionals assigned </w:t>
      </w:r>
    </w:p>
    <w:p w:rsidR="005277D0" w:rsidRDefault="005277D0" w:rsidP="005277D0">
      <w:pPr>
        <w:pStyle w:val="Heading4"/>
      </w:pPr>
      <w:r>
        <w:t>D. Firm Capacity (10)</w:t>
      </w:r>
    </w:p>
    <w:p w:rsidR="005277D0" w:rsidRDefault="005277D0" w:rsidP="005277D0">
      <w:pPr>
        <w:pStyle w:val="NormalWeb"/>
      </w:pPr>
      <w:r>
        <w:t>Evaluation based on:</w:t>
      </w:r>
    </w:p>
    <w:p w:rsidR="005277D0" w:rsidRDefault="005277D0" w:rsidP="005277D0">
      <w:pPr>
        <w:numPr>
          <w:ilvl w:val="0"/>
          <w:numId w:val="27"/>
        </w:numPr>
        <w:spacing w:before="100" w:beforeAutospacing="1" w:after="100" w:afterAutospacing="1" w:line="240" w:lineRule="auto"/>
      </w:pPr>
      <w:r>
        <w:t xml:space="preserve">Number of partners </w:t>
      </w:r>
    </w:p>
    <w:p w:rsidR="005277D0" w:rsidRDefault="005277D0" w:rsidP="005277D0">
      <w:pPr>
        <w:numPr>
          <w:ilvl w:val="0"/>
          <w:numId w:val="27"/>
        </w:numPr>
        <w:spacing w:before="100" w:beforeAutospacing="1" w:after="100" w:afterAutospacing="1" w:line="240" w:lineRule="auto"/>
      </w:pPr>
      <w:r>
        <w:t xml:space="preserve">Number of qualified chartered accountants </w:t>
      </w:r>
    </w:p>
    <w:p w:rsidR="005277D0" w:rsidRDefault="005277D0" w:rsidP="005277D0">
      <w:pPr>
        <w:numPr>
          <w:ilvl w:val="0"/>
          <w:numId w:val="27"/>
        </w:numPr>
        <w:spacing w:before="100" w:beforeAutospacing="1" w:after="100" w:afterAutospacing="1" w:line="240" w:lineRule="auto"/>
      </w:pPr>
      <w:r>
        <w:t xml:space="preserve">National presence and support resources </w:t>
      </w:r>
    </w:p>
    <w:p w:rsidR="005277D0" w:rsidRDefault="005277D0" w:rsidP="005277D0">
      <w:pPr>
        <w:pStyle w:val="Heading4"/>
      </w:pPr>
      <w:r>
        <w:t>E. Quality Assurance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0"/>
        <w:gridCol w:w="1417"/>
      </w:tblGrid>
      <w:tr w:rsidR="005277D0" w:rsidTr="005277D0">
        <w:trPr>
          <w:tblHeader/>
          <w:tblCellSpacing w:w="15" w:type="dxa"/>
        </w:trPr>
        <w:tc>
          <w:tcPr>
            <w:tcW w:w="7665" w:type="dxa"/>
            <w:vAlign w:val="center"/>
            <w:hideMark/>
          </w:tcPr>
          <w:p w:rsidR="005277D0" w:rsidRDefault="005277D0">
            <w:pPr>
              <w:jc w:val="center"/>
              <w:rPr>
                <w:b/>
                <w:bCs/>
              </w:rPr>
            </w:pPr>
            <w:r>
              <w:rPr>
                <w:b/>
                <w:bCs/>
              </w:rPr>
              <w:t>Criteria</w:t>
            </w:r>
          </w:p>
        </w:tc>
        <w:tc>
          <w:tcPr>
            <w:tcW w:w="1372" w:type="dxa"/>
            <w:vAlign w:val="center"/>
            <w:hideMark/>
          </w:tcPr>
          <w:p w:rsidR="005277D0" w:rsidRDefault="005277D0">
            <w:pPr>
              <w:jc w:val="center"/>
              <w:rPr>
                <w:b/>
                <w:bCs/>
              </w:rPr>
            </w:pPr>
            <w:r>
              <w:rPr>
                <w:b/>
                <w:bCs/>
              </w:rPr>
              <w:t>Marks</w:t>
            </w:r>
          </w:p>
        </w:tc>
      </w:tr>
      <w:tr w:rsidR="005277D0" w:rsidTr="005277D0">
        <w:trPr>
          <w:tblCellSpacing w:w="15" w:type="dxa"/>
        </w:trPr>
        <w:tc>
          <w:tcPr>
            <w:tcW w:w="7665" w:type="dxa"/>
            <w:vAlign w:val="center"/>
            <w:hideMark/>
          </w:tcPr>
          <w:p w:rsidR="005277D0" w:rsidRDefault="005277D0">
            <w:r>
              <w:t>Satisfactory QCR Rating</w:t>
            </w:r>
          </w:p>
        </w:tc>
        <w:tc>
          <w:tcPr>
            <w:tcW w:w="1372" w:type="dxa"/>
            <w:vAlign w:val="center"/>
            <w:hideMark/>
          </w:tcPr>
          <w:p w:rsidR="005277D0" w:rsidRDefault="005277D0" w:rsidP="005277D0">
            <w:pPr>
              <w:jc w:val="center"/>
            </w:pPr>
            <w:r>
              <w:t>3</w:t>
            </w:r>
          </w:p>
        </w:tc>
      </w:tr>
      <w:tr w:rsidR="005277D0" w:rsidTr="005277D0">
        <w:trPr>
          <w:tblCellSpacing w:w="15" w:type="dxa"/>
        </w:trPr>
        <w:tc>
          <w:tcPr>
            <w:tcW w:w="7665" w:type="dxa"/>
            <w:vAlign w:val="center"/>
            <w:hideMark/>
          </w:tcPr>
          <w:p w:rsidR="005277D0" w:rsidRDefault="005277D0">
            <w:r>
              <w:t>International Affiliation / Network Membership</w:t>
            </w:r>
          </w:p>
        </w:tc>
        <w:tc>
          <w:tcPr>
            <w:tcW w:w="1372" w:type="dxa"/>
            <w:vAlign w:val="center"/>
            <w:hideMark/>
          </w:tcPr>
          <w:p w:rsidR="005277D0" w:rsidRDefault="005277D0" w:rsidP="005277D0">
            <w:pPr>
              <w:jc w:val="center"/>
            </w:pPr>
            <w:r>
              <w:t>2</w:t>
            </w:r>
          </w:p>
        </w:tc>
      </w:tr>
    </w:tbl>
    <w:p w:rsidR="003147AA" w:rsidRDefault="003147AA" w:rsidP="005277D0">
      <w:pPr>
        <w:pStyle w:val="Heading3"/>
      </w:pPr>
    </w:p>
    <w:p w:rsidR="005277D0" w:rsidRDefault="005277D0" w:rsidP="005277D0">
      <w:pPr>
        <w:pStyle w:val="Heading3"/>
      </w:pPr>
      <w:r>
        <w:t>Minimum Technical Qualification</w:t>
      </w:r>
    </w:p>
    <w:p w:rsidR="005277D0" w:rsidRDefault="005277D0" w:rsidP="005277D0">
      <w:pPr>
        <w:pStyle w:val="NormalWeb"/>
      </w:pPr>
      <w:r>
        <w:t xml:space="preserve">Only firms obtaining </w:t>
      </w:r>
      <w:r>
        <w:rPr>
          <w:rStyle w:val="Strong"/>
        </w:rPr>
        <w:t>at least 49 out of 70 marks (70%)</w:t>
      </w:r>
      <w:r>
        <w:t xml:space="preserve"> shall qualify for financial evaluation.</w:t>
      </w:r>
    </w:p>
    <w:p w:rsidR="005277D0" w:rsidRPr="005277D0" w:rsidRDefault="005277D0" w:rsidP="005277D0">
      <w:pPr>
        <w:pStyle w:val="Heading2"/>
        <w:rPr>
          <w:sz w:val="27"/>
          <w:szCs w:val="27"/>
        </w:rPr>
      </w:pPr>
      <w:r w:rsidRPr="005277D0">
        <w:rPr>
          <w:sz w:val="27"/>
          <w:szCs w:val="27"/>
        </w:rPr>
        <w:t>Financial Evaluation (30 Marks)</w:t>
      </w:r>
    </w:p>
    <w:p w:rsidR="005277D0" w:rsidRDefault="008C6663" w:rsidP="005277D0">
      <w:pPr>
        <w:pStyle w:val="NormalWeb"/>
      </w:pPr>
      <w:r w:rsidRPr="008C6663">
        <w:t>Financial proposals of only technically qualified firms shall be opened.</w:t>
      </w:r>
      <w:r>
        <w:t xml:space="preserve"> </w:t>
      </w:r>
      <w:r w:rsidR="005277D0">
        <w:t>Financial score shall be calculated as:</w:t>
      </w:r>
    </w:p>
    <w:p w:rsidR="005277D0" w:rsidRDefault="005277D0" w:rsidP="005277D0">
      <w:pPr>
        <w:pStyle w:val="NormalWeb"/>
      </w:pPr>
      <w:r>
        <w:rPr>
          <w:rStyle w:val="Strong"/>
        </w:rPr>
        <w:t>Financial Score = (Lowest Evaluated Bid ÷ Bid Under Evaluation) × 30</w:t>
      </w:r>
    </w:p>
    <w:p w:rsidR="005277D0" w:rsidRPr="005277D0" w:rsidRDefault="005277D0" w:rsidP="005277D0">
      <w:pPr>
        <w:pStyle w:val="Heading2"/>
        <w:rPr>
          <w:sz w:val="27"/>
          <w:szCs w:val="27"/>
        </w:rPr>
      </w:pPr>
      <w:r w:rsidRPr="005277D0">
        <w:rPr>
          <w:sz w:val="27"/>
          <w:szCs w:val="27"/>
        </w:rPr>
        <w:t>Final Ranking</w:t>
      </w:r>
    </w:p>
    <w:p w:rsidR="005277D0" w:rsidRDefault="005277D0" w:rsidP="005277D0">
      <w:pPr>
        <w:pStyle w:val="NormalWeb"/>
      </w:pPr>
      <w:r>
        <w:rPr>
          <w:rStyle w:val="Strong"/>
        </w:rPr>
        <w:t>Combined Score = Technical Score + Financial Score</w:t>
      </w:r>
    </w:p>
    <w:p w:rsidR="005277D0" w:rsidRDefault="005277D0" w:rsidP="005277D0">
      <w:pPr>
        <w:pStyle w:val="NormalWeb"/>
      </w:pPr>
      <w:r>
        <w:t>The firm obtaining the highest combined score shall be recommended for appointment.</w:t>
      </w:r>
    </w:p>
    <w:p w:rsidR="008C6663" w:rsidRPr="008C6663" w:rsidRDefault="008C6663" w:rsidP="008C6663">
      <w:pPr>
        <w:pStyle w:val="Heading2"/>
        <w:rPr>
          <w:sz w:val="27"/>
          <w:szCs w:val="27"/>
        </w:rPr>
      </w:pPr>
      <w:r w:rsidRPr="008C6663">
        <w:rPr>
          <w:sz w:val="27"/>
          <w:szCs w:val="27"/>
        </w:rPr>
        <w:t>Technical Proposal</w:t>
      </w:r>
    </w:p>
    <w:p w:rsidR="008C6663" w:rsidRPr="008C6663" w:rsidRDefault="008C6663" w:rsidP="008C6663">
      <w:pPr>
        <w:pStyle w:val="NormalWeb"/>
      </w:pPr>
      <w:r w:rsidRPr="008C6663">
        <w:t>The technical proposal shall include:</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Firm Profile;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Copy of ICAP Registration Certificate;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Latest QCR Rating;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Evidence of SBP Category "A" Status;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Details of Partners and Qualified Staff;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Proposed Engagement Team; </w:t>
      </w:r>
    </w:p>
    <w:p w:rsidR="008C6663" w:rsidRPr="008C6663" w:rsidRDefault="008C6663" w:rsidP="008C6663">
      <w:pPr>
        <w:numPr>
          <w:ilvl w:val="0"/>
          <w:numId w:val="29"/>
        </w:numPr>
        <w:spacing w:before="100" w:beforeAutospacing="1" w:after="100" w:afterAutospacing="1" w:line="240" w:lineRule="auto"/>
        <w:rPr>
          <w:sz w:val="24"/>
          <w:szCs w:val="24"/>
        </w:rPr>
      </w:pPr>
      <w:r w:rsidRPr="008C6663">
        <w:rPr>
          <w:sz w:val="24"/>
          <w:szCs w:val="24"/>
        </w:rPr>
        <w:t xml:space="preserve">List of Banking/Financial Institution Audit Clients; </w:t>
      </w:r>
    </w:p>
    <w:p w:rsidR="008C6663" w:rsidRDefault="008C6663" w:rsidP="0056035E">
      <w:pPr>
        <w:numPr>
          <w:ilvl w:val="0"/>
          <w:numId w:val="29"/>
        </w:numPr>
        <w:spacing w:before="100" w:beforeAutospacing="1" w:after="100" w:afterAutospacing="1" w:line="240" w:lineRule="auto"/>
        <w:rPr>
          <w:sz w:val="24"/>
          <w:szCs w:val="24"/>
        </w:rPr>
      </w:pPr>
      <w:r w:rsidRPr="008C6663">
        <w:rPr>
          <w:sz w:val="24"/>
          <w:szCs w:val="24"/>
        </w:rPr>
        <w:t>Proposed Audit Methodology.</w:t>
      </w:r>
    </w:p>
    <w:p w:rsidR="008C6663" w:rsidRPr="008C6663" w:rsidRDefault="008C6663" w:rsidP="0056035E">
      <w:pPr>
        <w:numPr>
          <w:ilvl w:val="0"/>
          <w:numId w:val="29"/>
        </w:numPr>
        <w:spacing w:before="100" w:beforeAutospacing="1" w:after="100" w:afterAutospacing="1" w:line="240" w:lineRule="auto"/>
        <w:rPr>
          <w:sz w:val="24"/>
          <w:szCs w:val="24"/>
        </w:rPr>
      </w:pPr>
      <w:r>
        <w:rPr>
          <w:sz w:val="24"/>
          <w:szCs w:val="24"/>
        </w:rPr>
        <w:t>Any other relevant Information</w:t>
      </w:r>
    </w:p>
    <w:p w:rsidR="0056035E" w:rsidRDefault="0056035E" w:rsidP="0056035E">
      <w:pPr>
        <w:pStyle w:val="Heading3"/>
      </w:pPr>
      <w:r>
        <w:t>9</w:t>
      </w:r>
      <w:r>
        <w:t>. Right to Reject</w:t>
      </w:r>
    </w:p>
    <w:p w:rsidR="0056035E" w:rsidRDefault="008C6663" w:rsidP="0056035E">
      <w:pPr>
        <w:pStyle w:val="NormalWeb"/>
        <w:jc w:val="both"/>
      </w:pPr>
      <w:r w:rsidRPr="008C6663">
        <w:t>KCBL reserves the right to reject any or all proposals and to annul the procurement process at any stage prior to award of contract, without thereby incurring any liability to the affected bidders.</w:t>
      </w:r>
    </w:p>
    <w:p w:rsidR="005277D0" w:rsidRDefault="0056035E" w:rsidP="005277D0">
      <w:pPr>
        <w:pStyle w:val="Heading3"/>
      </w:pPr>
      <w:r>
        <w:t>10</w:t>
      </w:r>
      <w:r w:rsidR="005277D0">
        <w:t>. Proposal Submission</w:t>
      </w:r>
    </w:p>
    <w:p w:rsidR="005277D0" w:rsidRDefault="005277D0" w:rsidP="005277D0">
      <w:pPr>
        <w:pStyle w:val="NormalWeb"/>
      </w:pPr>
      <w:r>
        <w:t>Proposals shall be submitted in two separate sealed envelopes marked:</w:t>
      </w:r>
    </w:p>
    <w:p w:rsidR="005277D0" w:rsidRDefault="005277D0" w:rsidP="005277D0">
      <w:pPr>
        <w:numPr>
          <w:ilvl w:val="0"/>
          <w:numId w:val="28"/>
        </w:numPr>
        <w:spacing w:before="100" w:beforeAutospacing="1" w:after="100" w:afterAutospacing="1" w:line="240" w:lineRule="auto"/>
      </w:pPr>
      <w:r>
        <w:t xml:space="preserve">Technical Proposal </w:t>
      </w:r>
    </w:p>
    <w:p w:rsidR="005277D0" w:rsidRDefault="005277D0" w:rsidP="005277D0">
      <w:pPr>
        <w:numPr>
          <w:ilvl w:val="0"/>
          <w:numId w:val="28"/>
        </w:numPr>
        <w:spacing w:before="100" w:beforeAutospacing="1" w:after="100" w:afterAutospacing="1" w:line="240" w:lineRule="auto"/>
      </w:pPr>
      <w:r>
        <w:t xml:space="preserve">Financial Proposal </w:t>
      </w:r>
    </w:p>
    <w:p w:rsidR="0056035E" w:rsidRDefault="005277D0" w:rsidP="0056035E">
      <w:r>
        <w:t>within 15 days of publication of the advertisement.</w:t>
      </w:r>
      <w:r w:rsidR="0056035E">
        <w:t xml:space="preserve"> </w:t>
      </w:r>
      <w:r w:rsidR="0056035E" w:rsidRPr="00C61BF6">
        <w:rPr>
          <w:b/>
        </w:rPr>
        <w:t>Any query regarding advertisement and RFP may be referred to:</w:t>
      </w:r>
    </w:p>
    <w:p w:rsidR="003147AA" w:rsidRDefault="00C61BF6" w:rsidP="0056035E">
      <w:pPr>
        <w:rPr>
          <w:b/>
        </w:rPr>
      </w:pPr>
      <w:r w:rsidRPr="00C61BF6">
        <w:rPr>
          <w:b/>
        </w:rPr>
        <w:t>Office</w:t>
      </w:r>
      <w:r>
        <w:t xml:space="preserve"> </w:t>
      </w:r>
      <w:hyperlink r:id="rId10" w:history="1">
        <w:r w:rsidRPr="00C61BF6">
          <w:rPr>
            <w:rStyle w:val="Hyperlink"/>
            <w:b/>
            <w:color w:val="auto"/>
            <w:u w:val="none"/>
          </w:rPr>
          <w:t>Tel</w:t>
        </w:r>
        <w:r>
          <w:rPr>
            <w:rStyle w:val="Hyperlink"/>
            <w:b/>
            <w:color w:val="auto"/>
            <w:u w:val="none"/>
          </w:rPr>
          <w:t>ephone</w:t>
        </w:r>
        <w:r w:rsidRPr="00C61BF6">
          <w:rPr>
            <w:rStyle w:val="Hyperlink"/>
            <w:b/>
            <w:color w:val="auto"/>
            <w:u w:val="none"/>
          </w:rPr>
          <w:t>:</w:t>
        </w:r>
        <w:r w:rsidRPr="00C61BF6">
          <w:rPr>
            <w:rStyle w:val="Hyperlink"/>
            <w:color w:val="auto"/>
            <w:u w:val="none"/>
          </w:rPr>
          <w:t xml:space="preserve"> 05811-457523 / </w:t>
        </w:r>
        <w:r w:rsidR="003147AA">
          <w:rPr>
            <w:rStyle w:val="Hyperlink"/>
            <w:color w:val="auto"/>
            <w:u w:val="none"/>
          </w:rPr>
          <w:t>05811-</w:t>
        </w:r>
        <w:r w:rsidRPr="00C61BF6">
          <w:rPr>
            <w:rStyle w:val="Hyperlink"/>
            <w:color w:val="auto"/>
            <w:u w:val="none"/>
          </w:rPr>
          <w:t>457572</w:t>
        </w:r>
      </w:hyperlink>
      <w:r w:rsidR="0056035E" w:rsidRPr="00C61BF6">
        <w:rPr>
          <w:b/>
        </w:rPr>
        <w:t xml:space="preserve"> </w:t>
      </w:r>
    </w:p>
    <w:p w:rsidR="00C61BF6" w:rsidRPr="00C61BF6" w:rsidRDefault="003147AA" w:rsidP="003147AA">
      <w:pPr>
        <w:ind w:left="1440"/>
        <w:rPr>
          <w:b/>
        </w:rPr>
      </w:pPr>
      <w:r>
        <w:rPr>
          <w:b/>
        </w:rPr>
        <w:t xml:space="preserve">  :</w:t>
      </w:r>
      <w:r w:rsidR="00C61BF6">
        <w:rPr>
          <w:b/>
        </w:rPr>
        <w:t xml:space="preserve"> </w:t>
      </w:r>
      <w:r w:rsidR="00C61BF6" w:rsidRPr="00C61BF6">
        <w:t xml:space="preserve">Head </w:t>
      </w:r>
      <w:r w:rsidR="008C6663">
        <w:t xml:space="preserve">Internal </w:t>
      </w:r>
      <w:r w:rsidR="00C61BF6" w:rsidRPr="00C61BF6">
        <w:t>Audit</w:t>
      </w:r>
      <w:r w:rsidR="00C61BF6">
        <w:rPr>
          <w:b/>
        </w:rPr>
        <w:t xml:space="preserve"> </w:t>
      </w:r>
      <w:r w:rsidR="00C61BF6" w:rsidRPr="00C61BF6">
        <w:t>Cell # 0346 954 7727: 0355 587 8777</w:t>
      </w:r>
      <w:r w:rsidR="00C61BF6">
        <w:rPr>
          <w:b/>
        </w:rPr>
        <w:t xml:space="preserve">  </w:t>
      </w:r>
    </w:p>
    <w:p w:rsidR="003147AA" w:rsidRDefault="00C61BF6" w:rsidP="0056035E">
      <w:pPr>
        <w:rPr>
          <w:b/>
        </w:rPr>
      </w:pPr>
      <w:r>
        <w:rPr>
          <w:b/>
        </w:rPr>
        <w:t>Email:</w:t>
      </w:r>
      <w:r w:rsidRPr="00C61BF6">
        <w:rPr>
          <w:b/>
        </w:rPr>
        <w:t xml:space="preserve"> </w:t>
      </w:r>
      <w:r w:rsidR="003147AA">
        <w:rPr>
          <w:b/>
        </w:rPr>
        <w:t xml:space="preserve">     </w:t>
      </w:r>
      <w:hyperlink r:id="rId11" w:history="1">
        <w:r w:rsidRPr="00244574">
          <w:rPr>
            <w:rStyle w:val="Hyperlink"/>
            <w:b/>
          </w:rPr>
          <w:t>qaid.naem@kcb.com.pk</w:t>
        </w:r>
      </w:hyperlink>
      <w:r>
        <w:rPr>
          <w:b/>
        </w:rPr>
        <w:t>,</w:t>
      </w:r>
    </w:p>
    <w:p w:rsidR="00C61BF6" w:rsidRDefault="00C61BF6" w:rsidP="003147AA">
      <w:pPr>
        <w:ind w:firstLine="720"/>
        <w:rPr>
          <w:b/>
        </w:rPr>
      </w:pPr>
      <w:r>
        <w:rPr>
          <w:b/>
        </w:rPr>
        <w:t xml:space="preserve"> </w:t>
      </w:r>
      <w:r w:rsidR="003147AA">
        <w:rPr>
          <w:b/>
        </w:rPr>
        <w:t xml:space="preserve"> </w:t>
      </w:r>
      <w:hyperlink r:id="rId12" w:history="1">
        <w:r w:rsidRPr="00244574">
          <w:rPr>
            <w:rStyle w:val="Hyperlink"/>
            <w:b/>
          </w:rPr>
          <w:t>qaidnaem@gmail.com</w:t>
        </w:r>
      </w:hyperlink>
    </w:p>
    <w:p w:rsidR="00C61BF6" w:rsidRDefault="00C61BF6" w:rsidP="00C61BF6">
      <w:pPr>
        <w:rPr>
          <w:b/>
        </w:rPr>
      </w:pPr>
      <w:r>
        <w:rPr>
          <w:b/>
        </w:rPr>
        <w:t>Website:</w:t>
      </w:r>
      <w:r w:rsidRPr="00C61BF6">
        <w:rPr>
          <w:b/>
        </w:rPr>
        <w:t xml:space="preserve"> </w:t>
      </w:r>
      <w:hyperlink r:id="rId13" w:history="1">
        <w:r w:rsidRPr="00244574">
          <w:rPr>
            <w:rStyle w:val="Hyperlink"/>
            <w:b/>
          </w:rPr>
          <w:t>www.kcb.com.pk</w:t>
        </w:r>
      </w:hyperlink>
    </w:p>
    <w:p w:rsidR="003147AA" w:rsidRDefault="00C61BF6" w:rsidP="00C61BF6">
      <w:r>
        <w:rPr>
          <w:b/>
        </w:rPr>
        <w:t xml:space="preserve">Address: </w:t>
      </w:r>
      <w:r w:rsidRPr="00C61BF6">
        <w:t xml:space="preserve">The Head of Internal Audit, </w:t>
      </w:r>
    </w:p>
    <w:p w:rsidR="003147AA" w:rsidRDefault="003147AA" w:rsidP="003147AA">
      <w:pPr>
        <w:ind w:firstLine="720"/>
      </w:pPr>
      <w:r>
        <w:t xml:space="preserve">   </w:t>
      </w:r>
      <w:proofErr w:type="spellStart"/>
      <w:r w:rsidR="00C61BF6" w:rsidRPr="00C61BF6">
        <w:t>Karakuram</w:t>
      </w:r>
      <w:proofErr w:type="spellEnd"/>
      <w:r w:rsidR="00C61BF6" w:rsidRPr="00C61BF6">
        <w:t xml:space="preserve"> Co-Operative </w:t>
      </w:r>
      <w:proofErr w:type="gramStart"/>
      <w:r w:rsidR="00C61BF6" w:rsidRPr="00C61BF6">
        <w:t>bank</w:t>
      </w:r>
      <w:proofErr w:type="gramEnd"/>
      <w:r w:rsidR="00C61BF6" w:rsidRPr="00C61BF6">
        <w:t xml:space="preserve"> Ltd,</w:t>
      </w:r>
    </w:p>
    <w:p w:rsidR="00C61BF6" w:rsidRDefault="00C61BF6" w:rsidP="00C61BF6">
      <w:pPr>
        <w:rPr>
          <w:b/>
        </w:rPr>
      </w:pPr>
      <w:r w:rsidRPr="00C61BF6">
        <w:t xml:space="preserve"> </w:t>
      </w:r>
      <w:r w:rsidR="003147AA">
        <w:tab/>
        <w:t xml:space="preserve">   </w:t>
      </w:r>
      <w:r w:rsidRPr="00C61BF6">
        <w:t xml:space="preserve">KCBL Complex, </w:t>
      </w:r>
      <w:proofErr w:type="spellStart"/>
      <w:r w:rsidRPr="00C61BF6">
        <w:t>Sharah</w:t>
      </w:r>
      <w:proofErr w:type="spellEnd"/>
      <w:r w:rsidRPr="00C61BF6">
        <w:t xml:space="preserve">-e-Quaid </w:t>
      </w:r>
      <w:proofErr w:type="spellStart"/>
      <w:r w:rsidRPr="00C61BF6">
        <w:t>Azam</w:t>
      </w:r>
      <w:proofErr w:type="spellEnd"/>
      <w:r w:rsidRPr="00C61BF6">
        <w:t xml:space="preserve">, </w:t>
      </w:r>
      <w:proofErr w:type="spellStart"/>
      <w:r w:rsidRPr="00C61BF6">
        <w:t>Jutial</w:t>
      </w:r>
      <w:proofErr w:type="spellEnd"/>
      <w:r w:rsidRPr="00C61BF6">
        <w:t xml:space="preserve"> </w:t>
      </w:r>
      <w:proofErr w:type="spellStart"/>
      <w:r w:rsidRPr="00C61BF6">
        <w:t>Gilgit</w:t>
      </w:r>
      <w:proofErr w:type="spellEnd"/>
      <w:r w:rsidRPr="004B5CF6">
        <w:rPr>
          <w:b/>
        </w:rPr>
        <w:t>.</w:t>
      </w:r>
    </w:p>
    <w:sectPr w:rsidR="00C61BF6" w:rsidSect="0042384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AC" w:rsidRDefault="009A31AC" w:rsidP="006D7B9E">
      <w:pPr>
        <w:spacing w:after="0" w:line="240" w:lineRule="auto"/>
      </w:pPr>
      <w:r>
        <w:separator/>
      </w:r>
    </w:p>
  </w:endnote>
  <w:endnote w:type="continuationSeparator" w:id="0">
    <w:p w:rsidR="009A31AC" w:rsidRDefault="009A31AC" w:rsidP="006D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9E" w:rsidRDefault="006D7B9E">
    <w:pPr>
      <w:pStyle w:val="Footer"/>
    </w:pPr>
    <w:r>
      <w:t xml:space="preserve">                                                                                                                                                                                     </w:t>
    </w:r>
  </w:p>
  <w:p w:rsidR="006D7B9E" w:rsidRDefault="006D7B9E">
    <w:pPr>
      <w:pStyle w:val="Footer"/>
    </w:pPr>
  </w:p>
  <w:p w:rsidR="006D7B9E" w:rsidRDefault="006D7B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AC" w:rsidRDefault="009A31AC" w:rsidP="006D7B9E">
      <w:pPr>
        <w:spacing w:after="0" w:line="240" w:lineRule="auto"/>
      </w:pPr>
      <w:r>
        <w:separator/>
      </w:r>
    </w:p>
  </w:footnote>
  <w:footnote w:type="continuationSeparator" w:id="0">
    <w:p w:rsidR="009A31AC" w:rsidRDefault="009A31AC" w:rsidP="006D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F6" w:rsidRPr="001D70BE" w:rsidRDefault="00C61BF6" w:rsidP="00C61BF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GB" w:eastAsia="en-GB"/>
      </w:rPr>
    </w:pPr>
    <w:r w:rsidRPr="001D70BE">
      <w:rPr>
        <w:rFonts w:ascii="Times New Roman" w:eastAsia="Times New Roman" w:hAnsi="Times New Roman" w:cs="Times New Roman"/>
        <w:b/>
        <w:bCs/>
        <w:kern w:val="36"/>
        <w:sz w:val="24"/>
        <w:szCs w:val="24"/>
        <w:lang w:val="en-GB" w:eastAsia="en-GB"/>
      </w:rPr>
      <w:t>REQUEST FOR PROPOSAL (RFP)</w:t>
    </w:r>
    <w:r>
      <w:rPr>
        <w:rFonts w:ascii="Times New Roman" w:eastAsia="Times New Roman" w:hAnsi="Times New Roman" w:cs="Times New Roman"/>
        <w:b/>
        <w:bCs/>
        <w:kern w:val="36"/>
        <w:sz w:val="24"/>
        <w:szCs w:val="24"/>
        <w:lang w:val="en-GB" w:eastAsia="en-GB"/>
      </w:rPr>
      <w:t xml:space="preserve"> for Appointment of External Auditors</w:t>
    </w:r>
  </w:p>
  <w:p w:rsidR="00C61BF6" w:rsidRDefault="00C61B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47"/>
    <w:multiLevelType w:val="multilevel"/>
    <w:tmpl w:val="B4A8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23CE"/>
    <w:multiLevelType w:val="multilevel"/>
    <w:tmpl w:val="956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07EDF"/>
    <w:multiLevelType w:val="multilevel"/>
    <w:tmpl w:val="25F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56FAD"/>
    <w:multiLevelType w:val="multilevel"/>
    <w:tmpl w:val="04C6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15B77"/>
    <w:multiLevelType w:val="hybridMultilevel"/>
    <w:tmpl w:val="5990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17E67"/>
    <w:multiLevelType w:val="hybridMultilevel"/>
    <w:tmpl w:val="14A669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E7B8E"/>
    <w:multiLevelType w:val="multilevel"/>
    <w:tmpl w:val="A768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E02D3"/>
    <w:multiLevelType w:val="multilevel"/>
    <w:tmpl w:val="180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D1D09"/>
    <w:multiLevelType w:val="hybridMultilevel"/>
    <w:tmpl w:val="4CACC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764E"/>
    <w:multiLevelType w:val="hybridMultilevel"/>
    <w:tmpl w:val="DCDC84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419B2"/>
    <w:multiLevelType w:val="multilevel"/>
    <w:tmpl w:val="FAC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259DE"/>
    <w:multiLevelType w:val="multilevel"/>
    <w:tmpl w:val="A9E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21EC9"/>
    <w:multiLevelType w:val="multilevel"/>
    <w:tmpl w:val="92E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A1183"/>
    <w:multiLevelType w:val="hybridMultilevel"/>
    <w:tmpl w:val="0DA61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62E5E"/>
    <w:multiLevelType w:val="multilevel"/>
    <w:tmpl w:val="0C0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17AD3"/>
    <w:multiLevelType w:val="multilevel"/>
    <w:tmpl w:val="A39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6701E"/>
    <w:multiLevelType w:val="multilevel"/>
    <w:tmpl w:val="E54A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6028D"/>
    <w:multiLevelType w:val="multilevel"/>
    <w:tmpl w:val="F0F0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853F6"/>
    <w:multiLevelType w:val="multilevel"/>
    <w:tmpl w:val="7B4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C0A79"/>
    <w:multiLevelType w:val="multilevel"/>
    <w:tmpl w:val="0530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72172"/>
    <w:multiLevelType w:val="multilevel"/>
    <w:tmpl w:val="A90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A0CE0"/>
    <w:multiLevelType w:val="multilevel"/>
    <w:tmpl w:val="61E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22474"/>
    <w:multiLevelType w:val="multilevel"/>
    <w:tmpl w:val="4F7E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70127"/>
    <w:multiLevelType w:val="multilevel"/>
    <w:tmpl w:val="DF2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12BC5"/>
    <w:multiLevelType w:val="multilevel"/>
    <w:tmpl w:val="9A9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D773D"/>
    <w:multiLevelType w:val="multilevel"/>
    <w:tmpl w:val="4792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B1ABC"/>
    <w:multiLevelType w:val="multilevel"/>
    <w:tmpl w:val="896A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B389D"/>
    <w:multiLevelType w:val="multilevel"/>
    <w:tmpl w:val="42B8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A327A6"/>
    <w:multiLevelType w:val="hybridMultilevel"/>
    <w:tmpl w:val="7C0EB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9"/>
  </w:num>
  <w:num w:numId="4">
    <w:abstractNumId w:val="13"/>
  </w:num>
  <w:num w:numId="5">
    <w:abstractNumId w:val="5"/>
  </w:num>
  <w:num w:numId="6">
    <w:abstractNumId w:val="28"/>
  </w:num>
  <w:num w:numId="7">
    <w:abstractNumId w:val="10"/>
  </w:num>
  <w:num w:numId="8">
    <w:abstractNumId w:val="7"/>
  </w:num>
  <w:num w:numId="9">
    <w:abstractNumId w:val="14"/>
  </w:num>
  <w:num w:numId="10">
    <w:abstractNumId w:val="20"/>
  </w:num>
  <w:num w:numId="11">
    <w:abstractNumId w:val="11"/>
  </w:num>
  <w:num w:numId="12">
    <w:abstractNumId w:val="18"/>
  </w:num>
  <w:num w:numId="13">
    <w:abstractNumId w:val="12"/>
  </w:num>
  <w:num w:numId="14">
    <w:abstractNumId w:val="24"/>
  </w:num>
  <w:num w:numId="15">
    <w:abstractNumId w:val="26"/>
  </w:num>
  <w:num w:numId="16">
    <w:abstractNumId w:val="16"/>
  </w:num>
  <w:num w:numId="17">
    <w:abstractNumId w:val="27"/>
  </w:num>
  <w:num w:numId="18">
    <w:abstractNumId w:val="6"/>
  </w:num>
  <w:num w:numId="19">
    <w:abstractNumId w:val="25"/>
  </w:num>
  <w:num w:numId="20">
    <w:abstractNumId w:val="22"/>
  </w:num>
  <w:num w:numId="21">
    <w:abstractNumId w:val="2"/>
  </w:num>
  <w:num w:numId="22">
    <w:abstractNumId w:val="15"/>
  </w:num>
  <w:num w:numId="23">
    <w:abstractNumId w:val="21"/>
  </w:num>
  <w:num w:numId="24">
    <w:abstractNumId w:val="3"/>
  </w:num>
  <w:num w:numId="25">
    <w:abstractNumId w:val="1"/>
  </w:num>
  <w:num w:numId="26">
    <w:abstractNumId w:val="0"/>
  </w:num>
  <w:num w:numId="27">
    <w:abstractNumId w:val="23"/>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B6"/>
    <w:rsid w:val="00026EEA"/>
    <w:rsid w:val="000643C1"/>
    <w:rsid w:val="000677E9"/>
    <w:rsid w:val="00071B5F"/>
    <w:rsid w:val="00074BB9"/>
    <w:rsid w:val="000762AC"/>
    <w:rsid w:val="000B2252"/>
    <w:rsid w:val="000B37E6"/>
    <w:rsid w:val="000B48FA"/>
    <w:rsid w:val="000C3441"/>
    <w:rsid w:val="00113E43"/>
    <w:rsid w:val="001159E0"/>
    <w:rsid w:val="001335BD"/>
    <w:rsid w:val="0013517E"/>
    <w:rsid w:val="001700AE"/>
    <w:rsid w:val="00197C15"/>
    <w:rsid w:val="001A3898"/>
    <w:rsid w:val="001A7A58"/>
    <w:rsid w:val="001D2EA3"/>
    <w:rsid w:val="001D70BE"/>
    <w:rsid w:val="001E1BEA"/>
    <w:rsid w:val="001F0A01"/>
    <w:rsid w:val="00213021"/>
    <w:rsid w:val="00213CE4"/>
    <w:rsid w:val="0022287E"/>
    <w:rsid w:val="00242691"/>
    <w:rsid w:val="00244E6C"/>
    <w:rsid w:val="00254291"/>
    <w:rsid w:val="00255412"/>
    <w:rsid w:val="00261836"/>
    <w:rsid w:val="00286E39"/>
    <w:rsid w:val="0029082D"/>
    <w:rsid w:val="0029597B"/>
    <w:rsid w:val="002B6E44"/>
    <w:rsid w:val="002C6224"/>
    <w:rsid w:val="002E22E9"/>
    <w:rsid w:val="002E6832"/>
    <w:rsid w:val="003147AA"/>
    <w:rsid w:val="003268AF"/>
    <w:rsid w:val="003409B3"/>
    <w:rsid w:val="00351B92"/>
    <w:rsid w:val="00374084"/>
    <w:rsid w:val="0037607C"/>
    <w:rsid w:val="003C490C"/>
    <w:rsid w:val="003D185A"/>
    <w:rsid w:val="003E0274"/>
    <w:rsid w:val="00404D29"/>
    <w:rsid w:val="00410E78"/>
    <w:rsid w:val="00411E76"/>
    <w:rsid w:val="0042384D"/>
    <w:rsid w:val="00432FD0"/>
    <w:rsid w:val="00435352"/>
    <w:rsid w:val="00476057"/>
    <w:rsid w:val="00487E5F"/>
    <w:rsid w:val="004A181F"/>
    <w:rsid w:val="004A55F3"/>
    <w:rsid w:val="004B0663"/>
    <w:rsid w:val="004B5CF6"/>
    <w:rsid w:val="004C0C86"/>
    <w:rsid w:val="00511FEA"/>
    <w:rsid w:val="005277D0"/>
    <w:rsid w:val="005320E2"/>
    <w:rsid w:val="00544BBD"/>
    <w:rsid w:val="00546829"/>
    <w:rsid w:val="0056035E"/>
    <w:rsid w:val="00574A94"/>
    <w:rsid w:val="00587188"/>
    <w:rsid w:val="0059524D"/>
    <w:rsid w:val="00597816"/>
    <w:rsid w:val="005A5B59"/>
    <w:rsid w:val="005C40A2"/>
    <w:rsid w:val="005D7953"/>
    <w:rsid w:val="005E7A3F"/>
    <w:rsid w:val="00601918"/>
    <w:rsid w:val="006022ED"/>
    <w:rsid w:val="006169F7"/>
    <w:rsid w:val="006177F1"/>
    <w:rsid w:val="00682D8F"/>
    <w:rsid w:val="006C3242"/>
    <w:rsid w:val="006D5B41"/>
    <w:rsid w:val="006D7B9E"/>
    <w:rsid w:val="007100E8"/>
    <w:rsid w:val="00722ECD"/>
    <w:rsid w:val="00723EE6"/>
    <w:rsid w:val="00732239"/>
    <w:rsid w:val="0075023E"/>
    <w:rsid w:val="0075181C"/>
    <w:rsid w:val="00756711"/>
    <w:rsid w:val="00776253"/>
    <w:rsid w:val="00786FD4"/>
    <w:rsid w:val="00797537"/>
    <w:rsid w:val="007A18C2"/>
    <w:rsid w:val="007A283C"/>
    <w:rsid w:val="007D38BA"/>
    <w:rsid w:val="007F5F18"/>
    <w:rsid w:val="00820336"/>
    <w:rsid w:val="008259A3"/>
    <w:rsid w:val="00832517"/>
    <w:rsid w:val="00841E90"/>
    <w:rsid w:val="008516CC"/>
    <w:rsid w:val="00851BC7"/>
    <w:rsid w:val="008769D2"/>
    <w:rsid w:val="00882F42"/>
    <w:rsid w:val="008926A4"/>
    <w:rsid w:val="008A6BCB"/>
    <w:rsid w:val="008C5946"/>
    <w:rsid w:val="008C5F6A"/>
    <w:rsid w:val="008C6663"/>
    <w:rsid w:val="008D6FC1"/>
    <w:rsid w:val="008E3E9B"/>
    <w:rsid w:val="00905038"/>
    <w:rsid w:val="00914972"/>
    <w:rsid w:val="00936C45"/>
    <w:rsid w:val="00943468"/>
    <w:rsid w:val="0095142A"/>
    <w:rsid w:val="00955E6A"/>
    <w:rsid w:val="00990C3E"/>
    <w:rsid w:val="009A31AC"/>
    <w:rsid w:val="009C3077"/>
    <w:rsid w:val="00A32565"/>
    <w:rsid w:val="00A4280F"/>
    <w:rsid w:val="00A97976"/>
    <w:rsid w:val="00AD32EF"/>
    <w:rsid w:val="00AE0853"/>
    <w:rsid w:val="00B16F3E"/>
    <w:rsid w:val="00B613D9"/>
    <w:rsid w:val="00B6309E"/>
    <w:rsid w:val="00B9260C"/>
    <w:rsid w:val="00B9636D"/>
    <w:rsid w:val="00BA18A8"/>
    <w:rsid w:val="00BA6336"/>
    <w:rsid w:val="00BB1C56"/>
    <w:rsid w:val="00BC1A5B"/>
    <w:rsid w:val="00BC4B36"/>
    <w:rsid w:val="00BD0A19"/>
    <w:rsid w:val="00BE64DB"/>
    <w:rsid w:val="00C32984"/>
    <w:rsid w:val="00C33941"/>
    <w:rsid w:val="00C61BF6"/>
    <w:rsid w:val="00C7766D"/>
    <w:rsid w:val="00C96C44"/>
    <w:rsid w:val="00CA4D35"/>
    <w:rsid w:val="00CA6A41"/>
    <w:rsid w:val="00CB777D"/>
    <w:rsid w:val="00CB79D0"/>
    <w:rsid w:val="00CE27CE"/>
    <w:rsid w:val="00CF2CA3"/>
    <w:rsid w:val="00CF33EC"/>
    <w:rsid w:val="00D04CFD"/>
    <w:rsid w:val="00D1045D"/>
    <w:rsid w:val="00D201ED"/>
    <w:rsid w:val="00D52149"/>
    <w:rsid w:val="00D60C8B"/>
    <w:rsid w:val="00D6260D"/>
    <w:rsid w:val="00D82C48"/>
    <w:rsid w:val="00DD00B8"/>
    <w:rsid w:val="00DD0601"/>
    <w:rsid w:val="00E1107E"/>
    <w:rsid w:val="00E21D5D"/>
    <w:rsid w:val="00E311A3"/>
    <w:rsid w:val="00E41E81"/>
    <w:rsid w:val="00E44BC8"/>
    <w:rsid w:val="00E55BB3"/>
    <w:rsid w:val="00E64AB6"/>
    <w:rsid w:val="00E73844"/>
    <w:rsid w:val="00E927CC"/>
    <w:rsid w:val="00EA0ED8"/>
    <w:rsid w:val="00EA7DA2"/>
    <w:rsid w:val="00EC3F3D"/>
    <w:rsid w:val="00EE171A"/>
    <w:rsid w:val="00EF7F6A"/>
    <w:rsid w:val="00F001DC"/>
    <w:rsid w:val="00F14BB7"/>
    <w:rsid w:val="00F3321F"/>
    <w:rsid w:val="00F338BF"/>
    <w:rsid w:val="00F35BF8"/>
    <w:rsid w:val="00F53758"/>
    <w:rsid w:val="00F549AF"/>
    <w:rsid w:val="00F55EBD"/>
    <w:rsid w:val="00F73482"/>
    <w:rsid w:val="00F82E6A"/>
    <w:rsid w:val="00FA6413"/>
    <w:rsid w:val="00FB4790"/>
    <w:rsid w:val="00FE2794"/>
    <w:rsid w:val="00FE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4DDF2"/>
  <w15:docId w15:val="{83B6A506-0904-4F09-9821-87AFE88E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70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1D70B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1D70B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5277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B6"/>
    <w:rPr>
      <w:rFonts w:ascii="Tahoma" w:hAnsi="Tahoma" w:cs="Tahoma"/>
      <w:sz w:val="16"/>
      <w:szCs w:val="16"/>
    </w:rPr>
  </w:style>
  <w:style w:type="paragraph" w:styleId="Subtitle">
    <w:name w:val="Subtitle"/>
    <w:basedOn w:val="Normal"/>
    <w:next w:val="Normal"/>
    <w:link w:val="SubtitleChar"/>
    <w:uiPriority w:val="11"/>
    <w:qFormat/>
    <w:rsid w:val="00E110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1107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B777D"/>
    <w:pPr>
      <w:ind w:left="720"/>
      <w:contextualSpacing/>
    </w:pPr>
  </w:style>
  <w:style w:type="character" w:styleId="IntenseEmphasis">
    <w:name w:val="Intense Emphasis"/>
    <w:basedOn w:val="DefaultParagraphFont"/>
    <w:uiPriority w:val="21"/>
    <w:qFormat/>
    <w:rsid w:val="00242691"/>
    <w:rPr>
      <w:b/>
      <w:bCs/>
      <w:i/>
      <w:iCs/>
      <w:color w:val="4F81BD" w:themeColor="accent1"/>
    </w:rPr>
  </w:style>
  <w:style w:type="table" w:styleId="TableGrid">
    <w:name w:val="Table Grid"/>
    <w:basedOn w:val="TableNormal"/>
    <w:uiPriority w:val="59"/>
    <w:rsid w:val="004A5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D7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9E"/>
  </w:style>
  <w:style w:type="paragraph" w:styleId="Footer">
    <w:name w:val="footer"/>
    <w:basedOn w:val="Normal"/>
    <w:link w:val="FooterChar"/>
    <w:uiPriority w:val="99"/>
    <w:unhideWhenUsed/>
    <w:rsid w:val="006D7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9E"/>
  </w:style>
  <w:style w:type="character" w:customStyle="1" w:styleId="Heading1Char">
    <w:name w:val="Heading 1 Char"/>
    <w:basedOn w:val="DefaultParagraphFont"/>
    <w:link w:val="Heading1"/>
    <w:uiPriority w:val="9"/>
    <w:rsid w:val="001D70B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1D70BE"/>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1D70BE"/>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1D70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D70BE"/>
    <w:rPr>
      <w:b/>
      <w:bCs/>
    </w:rPr>
  </w:style>
  <w:style w:type="character" w:styleId="Hyperlink">
    <w:name w:val="Hyperlink"/>
    <w:basedOn w:val="DefaultParagraphFont"/>
    <w:uiPriority w:val="99"/>
    <w:unhideWhenUsed/>
    <w:rsid w:val="001D70BE"/>
    <w:rPr>
      <w:color w:val="0000FF"/>
      <w:u w:val="single"/>
    </w:rPr>
  </w:style>
  <w:style w:type="character" w:customStyle="1" w:styleId="Heading4Char">
    <w:name w:val="Heading 4 Char"/>
    <w:basedOn w:val="DefaultParagraphFont"/>
    <w:link w:val="Heading4"/>
    <w:uiPriority w:val="9"/>
    <w:semiHidden/>
    <w:rsid w:val="005277D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8247">
      <w:bodyDiv w:val="1"/>
      <w:marLeft w:val="0"/>
      <w:marRight w:val="0"/>
      <w:marTop w:val="0"/>
      <w:marBottom w:val="0"/>
      <w:divBdr>
        <w:top w:val="none" w:sz="0" w:space="0" w:color="auto"/>
        <w:left w:val="none" w:sz="0" w:space="0" w:color="auto"/>
        <w:bottom w:val="none" w:sz="0" w:space="0" w:color="auto"/>
        <w:right w:val="none" w:sz="0" w:space="0" w:color="auto"/>
      </w:divBdr>
      <w:divsChild>
        <w:div w:id="2095318843">
          <w:marLeft w:val="0"/>
          <w:marRight w:val="0"/>
          <w:marTop w:val="0"/>
          <w:marBottom w:val="0"/>
          <w:divBdr>
            <w:top w:val="none" w:sz="0" w:space="0" w:color="auto"/>
            <w:left w:val="none" w:sz="0" w:space="0" w:color="auto"/>
            <w:bottom w:val="none" w:sz="0" w:space="0" w:color="auto"/>
            <w:right w:val="none" w:sz="0" w:space="0" w:color="auto"/>
          </w:divBdr>
          <w:divsChild>
            <w:div w:id="1047754707">
              <w:marLeft w:val="0"/>
              <w:marRight w:val="0"/>
              <w:marTop w:val="0"/>
              <w:marBottom w:val="0"/>
              <w:divBdr>
                <w:top w:val="none" w:sz="0" w:space="0" w:color="auto"/>
                <w:left w:val="none" w:sz="0" w:space="0" w:color="auto"/>
                <w:bottom w:val="none" w:sz="0" w:space="0" w:color="auto"/>
                <w:right w:val="none" w:sz="0" w:space="0" w:color="auto"/>
              </w:divBdr>
            </w:div>
          </w:divsChild>
        </w:div>
        <w:div w:id="519124473">
          <w:marLeft w:val="0"/>
          <w:marRight w:val="0"/>
          <w:marTop w:val="0"/>
          <w:marBottom w:val="0"/>
          <w:divBdr>
            <w:top w:val="none" w:sz="0" w:space="0" w:color="auto"/>
            <w:left w:val="none" w:sz="0" w:space="0" w:color="auto"/>
            <w:bottom w:val="none" w:sz="0" w:space="0" w:color="auto"/>
            <w:right w:val="none" w:sz="0" w:space="0" w:color="auto"/>
          </w:divBdr>
          <w:divsChild>
            <w:div w:id="1874492085">
              <w:marLeft w:val="0"/>
              <w:marRight w:val="0"/>
              <w:marTop w:val="0"/>
              <w:marBottom w:val="0"/>
              <w:divBdr>
                <w:top w:val="none" w:sz="0" w:space="0" w:color="auto"/>
                <w:left w:val="none" w:sz="0" w:space="0" w:color="auto"/>
                <w:bottom w:val="none" w:sz="0" w:space="0" w:color="auto"/>
                <w:right w:val="none" w:sz="0" w:space="0" w:color="auto"/>
              </w:divBdr>
            </w:div>
          </w:divsChild>
        </w:div>
        <w:div w:id="526068129">
          <w:marLeft w:val="0"/>
          <w:marRight w:val="0"/>
          <w:marTop w:val="0"/>
          <w:marBottom w:val="0"/>
          <w:divBdr>
            <w:top w:val="none" w:sz="0" w:space="0" w:color="auto"/>
            <w:left w:val="none" w:sz="0" w:space="0" w:color="auto"/>
            <w:bottom w:val="none" w:sz="0" w:space="0" w:color="auto"/>
            <w:right w:val="none" w:sz="0" w:space="0" w:color="auto"/>
          </w:divBdr>
          <w:divsChild>
            <w:div w:id="1547182296">
              <w:marLeft w:val="0"/>
              <w:marRight w:val="0"/>
              <w:marTop w:val="0"/>
              <w:marBottom w:val="0"/>
              <w:divBdr>
                <w:top w:val="none" w:sz="0" w:space="0" w:color="auto"/>
                <w:left w:val="none" w:sz="0" w:space="0" w:color="auto"/>
                <w:bottom w:val="none" w:sz="0" w:space="0" w:color="auto"/>
                <w:right w:val="none" w:sz="0" w:space="0" w:color="auto"/>
              </w:divBdr>
            </w:div>
          </w:divsChild>
        </w:div>
        <w:div w:id="522934747">
          <w:marLeft w:val="0"/>
          <w:marRight w:val="0"/>
          <w:marTop w:val="0"/>
          <w:marBottom w:val="0"/>
          <w:divBdr>
            <w:top w:val="none" w:sz="0" w:space="0" w:color="auto"/>
            <w:left w:val="none" w:sz="0" w:space="0" w:color="auto"/>
            <w:bottom w:val="none" w:sz="0" w:space="0" w:color="auto"/>
            <w:right w:val="none" w:sz="0" w:space="0" w:color="auto"/>
          </w:divBdr>
          <w:divsChild>
            <w:div w:id="18343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7864">
      <w:bodyDiv w:val="1"/>
      <w:marLeft w:val="0"/>
      <w:marRight w:val="0"/>
      <w:marTop w:val="0"/>
      <w:marBottom w:val="0"/>
      <w:divBdr>
        <w:top w:val="none" w:sz="0" w:space="0" w:color="auto"/>
        <w:left w:val="none" w:sz="0" w:space="0" w:color="auto"/>
        <w:bottom w:val="none" w:sz="0" w:space="0" w:color="auto"/>
        <w:right w:val="none" w:sz="0" w:space="0" w:color="auto"/>
      </w:divBdr>
    </w:div>
    <w:div w:id="1341859908">
      <w:bodyDiv w:val="1"/>
      <w:marLeft w:val="0"/>
      <w:marRight w:val="0"/>
      <w:marTop w:val="0"/>
      <w:marBottom w:val="0"/>
      <w:divBdr>
        <w:top w:val="none" w:sz="0" w:space="0" w:color="auto"/>
        <w:left w:val="none" w:sz="0" w:space="0" w:color="auto"/>
        <w:bottom w:val="none" w:sz="0" w:space="0" w:color="auto"/>
        <w:right w:val="none" w:sz="0" w:space="0" w:color="auto"/>
      </w:divBdr>
      <w:divsChild>
        <w:div w:id="1524633498">
          <w:marLeft w:val="0"/>
          <w:marRight w:val="0"/>
          <w:marTop w:val="0"/>
          <w:marBottom w:val="0"/>
          <w:divBdr>
            <w:top w:val="none" w:sz="0" w:space="0" w:color="auto"/>
            <w:left w:val="none" w:sz="0" w:space="0" w:color="auto"/>
            <w:bottom w:val="none" w:sz="0" w:space="0" w:color="auto"/>
            <w:right w:val="none" w:sz="0" w:space="0" w:color="auto"/>
          </w:divBdr>
          <w:divsChild>
            <w:div w:id="1566793897">
              <w:marLeft w:val="0"/>
              <w:marRight w:val="0"/>
              <w:marTop w:val="0"/>
              <w:marBottom w:val="0"/>
              <w:divBdr>
                <w:top w:val="none" w:sz="0" w:space="0" w:color="auto"/>
                <w:left w:val="none" w:sz="0" w:space="0" w:color="auto"/>
                <w:bottom w:val="none" w:sz="0" w:space="0" w:color="auto"/>
                <w:right w:val="none" w:sz="0" w:space="0" w:color="auto"/>
              </w:divBdr>
            </w:div>
          </w:divsChild>
        </w:div>
        <w:div w:id="625738786">
          <w:marLeft w:val="0"/>
          <w:marRight w:val="0"/>
          <w:marTop w:val="0"/>
          <w:marBottom w:val="0"/>
          <w:divBdr>
            <w:top w:val="none" w:sz="0" w:space="0" w:color="auto"/>
            <w:left w:val="none" w:sz="0" w:space="0" w:color="auto"/>
            <w:bottom w:val="none" w:sz="0" w:space="0" w:color="auto"/>
            <w:right w:val="none" w:sz="0" w:space="0" w:color="auto"/>
          </w:divBdr>
          <w:divsChild>
            <w:div w:id="28069240">
              <w:marLeft w:val="0"/>
              <w:marRight w:val="0"/>
              <w:marTop w:val="0"/>
              <w:marBottom w:val="0"/>
              <w:divBdr>
                <w:top w:val="none" w:sz="0" w:space="0" w:color="auto"/>
                <w:left w:val="none" w:sz="0" w:space="0" w:color="auto"/>
                <w:bottom w:val="none" w:sz="0" w:space="0" w:color="auto"/>
                <w:right w:val="none" w:sz="0" w:space="0" w:color="auto"/>
              </w:divBdr>
            </w:div>
          </w:divsChild>
        </w:div>
        <w:div w:id="654264023">
          <w:marLeft w:val="0"/>
          <w:marRight w:val="0"/>
          <w:marTop w:val="0"/>
          <w:marBottom w:val="0"/>
          <w:divBdr>
            <w:top w:val="none" w:sz="0" w:space="0" w:color="auto"/>
            <w:left w:val="none" w:sz="0" w:space="0" w:color="auto"/>
            <w:bottom w:val="none" w:sz="0" w:space="0" w:color="auto"/>
            <w:right w:val="none" w:sz="0" w:space="0" w:color="auto"/>
          </w:divBdr>
          <w:divsChild>
            <w:div w:id="10691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0285">
      <w:bodyDiv w:val="1"/>
      <w:marLeft w:val="0"/>
      <w:marRight w:val="0"/>
      <w:marTop w:val="0"/>
      <w:marBottom w:val="0"/>
      <w:divBdr>
        <w:top w:val="none" w:sz="0" w:space="0" w:color="auto"/>
        <w:left w:val="none" w:sz="0" w:space="0" w:color="auto"/>
        <w:bottom w:val="none" w:sz="0" w:space="0" w:color="auto"/>
        <w:right w:val="none" w:sz="0" w:space="0" w:color="auto"/>
      </w:divBdr>
      <w:divsChild>
        <w:div w:id="736634559">
          <w:marLeft w:val="0"/>
          <w:marRight w:val="0"/>
          <w:marTop w:val="0"/>
          <w:marBottom w:val="0"/>
          <w:divBdr>
            <w:top w:val="none" w:sz="0" w:space="0" w:color="auto"/>
            <w:left w:val="none" w:sz="0" w:space="0" w:color="auto"/>
            <w:bottom w:val="none" w:sz="0" w:space="0" w:color="auto"/>
            <w:right w:val="none" w:sz="0" w:space="0" w:color="auto"/>
          </w:divBdr>
          <w:divsChild>
            <w:div w:id="1973289538">
              <w:marLeft w:val="0"/>
              <w:marRight w:val="0"/>
              <w:marTop w:val="0"/>
              <w:marBottom w:val="0"/>
              <w:divBdr>
                <w:top w:val="none" w:sz="0" w:space="0" w:color="auto"/>
                <w:left w:val="none" w:sz="0" w:space="0" w:color="auto"/>
                <w:bottom w:val="none" w:sz="0" w:space="0" w:color="auto"/>
                <w:right w:val="none" w:sz="0" w:space="0" w:color="auto"/>
              </w:divBdr>
            </w:div>
          </w:divsChild>
        </w:div>
        <w:div w:id="1451125004">
          <w:marLeft w:val="0"/>
          <w:marRight w:val="0"/>
          <w:marTop w:val="0"/>
          <w:marBottom w:val="0"/>
          <w:divBdr>
            <w:top w:val="none" w:sz="0" w:space="0" w:color="auto"/>
            <w:left w:val="none" w:sz="0" w:space="0" w:color="auto"/>
            <w:bottom w:val="none" w:sz="0" w:space="0" w:color="auto"/>
            <w:right w:val="none" w:sz="0" w:space="0" w:color="auto"/>
          </w:divBdr>
          <w:divsChild>
            <w:div w:id="993752304">
              <w:marLeft w:val="0"/>
              <w:marRight w:val="0"/>
              <w:marTop w:val="0"/>
              <w:marBottom w:val="0"/>
              <w:divBdr>
                <w:top w:val="none" w:sz="0" w:space="0" w:color="auto"/>
                <w:left w:val="none" w:sz="0" w:space="0" w:color="auto"/>
                <w:bottom w:val="none" w:sz="0" w:space="0" w:color="auto"/>
                <w:right w:val="none" w:sz="0" w:space="0" w:color="auto"/>
              </w:divBdr>
            </w:div>
          </w:divsChild>
        </w:div>
        <w:div w:id="73207261">
          <w:marLeft w:val="0"/>
          <w:marRight w:val="0"/>
          <w:marTop w:val="0"/>
          <w:marBottom w:val="0"/>
          <w:divBdr>
            <w:top w:val="none" w:sz="0" w:space="0" w:color="auto"/>
            <w:left w:val="none" w:sz="0" w:space="0" w:color="auto"/>
            <w:bottom w:val="none" w:sz="0" w:space="0" w:color="auto"/>
            <w:right w:val="none" w:sz="0" w:space="0" w:color="auto"/>
          </w:divBdr>
          <w:divsChild>
            <w:div w:id="1877083854">
              <w:marLeft w:val="0"/>
              <w:marRight w:val="0"/>
              <w:marTop w:val="0"/>
              <w:marBottom w:val="0"/>
              <w:divBdr>
                <w:top w:val="none" w:sz="0" w:space="0" w:color="auto"/>
                <w:left w:val="none" w:sz="0" w:space="0" w:color="auto"/>
                <w:bottom w:val="none" w:sz="0" w:space="0" w:color="auto"/>
                <w:right w:val="none" w:sz="0" w:space="0" w:color="auto"/>
              </w:divBdr>
            </w:div>
          </w:divsChild>
        </w:div>
        <w:div w:id="1289583606">
          <w:marLeft w:val="0"/>
          <w:marRight w:val="0"/>
          <w:marTop w:val="0"/>
          <w:marBottom w:val="0"/>
          <w:divBdr>
            <w:top w:val="none" w:sz="0" w:space="0" w:color="auto"/>
            <w:left w:val="none" w:sz="0" w:space="0" w:color="auto"/>
            <w:bottom w:val="none" w:sz="0" w:space="0" w:color="auto"/>
            <w:right w:val="none" w:sz="0" w:space="0" w:color="auto"/>
          </w:divBdr>
          <w:divsChild>
            <w:div w:id="93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cb.com.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aidnaem@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aid.naem@kcb.com.p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05811-457523%20/%2045757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4E8198-0DE1-40ED-8D6E-E51854D1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kcbl</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maudit</dc:creator>
  <cp:lastModifiedBy>Husnain</cp:lastModifiedBy>
  <cp:revision>17</cp:revision>
  <cp:lastPrinted>2024-04-22T04:17:00Z</cp:lastPrinted>
  <dcterms:created xsi:type="dcterms:W3CDTF">2024-04-19T06:32:00Z</dcterms:created>
  <dcterms:modified xsi:type="dcterms:W3CDTF">2026-06-18T11:20:00Z</dcterms:modified>
</cp:coreProperties>
</file>